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hanging="0"/>
        <w:jc w:val="right"/>
        <w:rPr>
          <w:rFonts w:ascii="Times New Roman" w:hAnsi="Times New Roman" w:cs="Times New Roman"/>
          <w:sz w:val="28"/>
          <w:szCs w:val="28"/>
        </w:rPr>
      </w:pPr>
      <w:r>
        <w:rPr>
          <w:rFonts w:cs="Times New Roman" w:ascii="Times New Roman" w:hAnsi="Times New Roman"/>
          <w:sz w:val="28"/>
          <w:szCs w:val="28"/>
        </w:rPr>
      </w:r>
    </w:p>
    <w:p>
      <w:pPr>
        <w:pStyle w:val="Normal"/>
        <w:ind w:hanging="0"/>
        <w:jc w:val="center"/>
        <w:rPr>
          <w:rFonts w:ascii="Times New Roman" w:hAnsi="Times New Roman" w:cs="Times New Roman"/>
          <w:sz w:val="28"/>
          <w:szCs w:val="28"/>
        </w:rPr>
      </w:pPr>
      <w:r>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420"/>
        <w:ind w:hanging="0"/>
        <w:jc w:val="center"/>
        <w:rPr>
          <w:rFonts w:ascii="Times New Roman" w:hAnsi="Times New Roman" w:eastAsia="" w:cs="Times New Roman" w:eastAsiaTheme="minorEastAsia"/>
          <w:b/>
          <w:b/>
          <w:bCs/>
          <w:sz w:val="36"/>
          <w:szCs w:val="28"/>
        </w:rPr>
      </w:pPr>
      <w:r>
        <w:rPr>
          <w:rFonts w:cs="Times New Roman" w:ascii="Times New Roman" w:hAnsi="Times New Roman"/>
          <w:b/>
          <w:sz w:val="36"/>
          <w:szCs w:val="28"/>
        </w:rPr>
        <w:t>Разъяснения по отдельным вопросам, связанным с применением Типового положения о</w:t>
      </w:r>
      <w:r>
        <w:rPr>
          <w:rFonts w:eastAsia="" w:cs="Times New Roman" w:ascii="Times New Roman" w:hAnsi="Times New Roman" w:eastAsiaTheme="minorEastAsia"/>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Pr>
          <w:rFonts w:cs="Times New Roman" w:ascii="Times New Roman" w:hAnsi="Times New Roman"/>
          <w:b/>
          <w:sz w:val="36"/>
          <w:szCs w:val="28"/>
        </w:rPr>
        <w:t>, утвержденного постановлением Правительства Российской Федерации</w:t>
        <w:br/>
        <w:t>от 9 января 2014 г. № 10</w:t>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jc w:val="center"/>
        <w:rPr>
          <w:rFonts w:ascii="Times New Roman" w:hAnsi="Times New Roman" w:eastAsia="Times New Roman" w:cs="Times New Roman"/>
          <w:sz w:val="28"/>
          <w:szCs w:val="28"/>
        </w:rPr>
      </w:pPr>
      <w:r>
        <w:rPr/>
      </w:r>
      <w:r>
        <w:br w:type="page"/>
      </w:r>
    </w:p>
    <w:p>
      <w:pPr>
        <w:pStyle w:val="ConsPlusNormal"/>
        <w:ind w:hanging="0"/>
        <w:jc w:val="right"/>
        <w:rPr>
          <w:rFonts w:ascii="Times New Roman" w:hAnsi="Times New Roman" w:cs="Times New Roman"/>
          <w:i/>
          <w:i/>
          <w:sz w:val="28"/>
          <w:szCs w:val="28"/>
        </w:rPr>
      </w:pPr>
      <w:r>
        <w:rPr>
          <w:rFonts w:cs="Times New Roman" w:ascii="Times New Roman" w:hAnsi="Times New Roman"/>
          <w:i/>
          <w:sz w:val="24"/>
          <w:szCs w:val="28"/>
        </w:rPr>
        <w:t>От подарка до взятки – один шаг.</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jc w:val="center"/>
        <w:rPr>
          <w:rFonts w:ascii="Times New Roman" w:hAnsi="Times New Roman" w:cs="Times New Roman"/>
          <w:b/>
          <w:b/>
          <w:sz w:val="28"/>
          <w:szCs w:val="28"/>
        </w:rPr>
      </w:pPr>
      <w:r>
        <w:rPr>
          <w:rFonts w:cs="Times New Roman" w:ascii="Times New Roman" w:hAnsi="Times New Roman"/>
          <w:b/>
          <w:sz w:val="28"/>
          <w:szCs w:val="28"/>
        </w:rPr>
        <w:t>Общие положения</w:t>
      </w:r>
    </w:p>
    <w:p>
      <w:pPr>
        <w:pStyle w:val="ListParagraph"/>
        <w:ind w:left="0" w:hanging="0"/>
        <w:jc w:val="center"/>
        <w:rPr>
          <w:rFonts w:ascii="Times New Roman" w:hAnsi="Times New Roman" w:cs="Times New Roman"/>
          <w:sz w:val="28"/>
          <w:szCs w:val="28"/>
        </w:rPr>
      </w:pPr>
      <w:r>
        <w:rPr>
          <w:rFonts w:cs="Times New Roman" w:ascii="Times New Roman" w:hAnsi="Times New Roman"/>
          <w:sz w:val="28"/>
          <w:szCs w:val="28"/>
        </w:rPr>
      </w:r>
    </w:p>
    <w:p>
      <w:pPr>
        <w:pStyle w:val="ListParagraph"/>
        <w:tabs>
          <w:tab w:val="clear" w:pos="709"/>
          <w:tab w:val="left" w:pos="993" w:leader="none"/>
        </w:tabs>
        <w:spacing w:before="0" w:after="0"/>
        <w:ind w:left="0" w:firstLine="709"/>
        <w:contextualSpacing/>
        <w:rPr>
          <w:rFonts w:ascii="Times New Roman" w:hAnsi="Times New Roman" w:eastAsia="TimesNewRomanPSMT" w:cs="Times New Roman"/>
          <w:sz w:val="28"/>
          <w:szCs w:val="28"/>
        </w:rPr>
      </w:pPr>
      <w:r>
        <w:rPr>
          <w:rFonts w:eastAsia="TimesNewRomanPSMT" w:cs="Times New Roman" w:ascii="Times New Roman" w:hAnsi="Times New Roman"/>
          <w:sz w:val="28"/>
          <w:szCs w:val="28"/>
        </w:rPr>
        <w:t>1. Гражданский кодекс Российской Федерации</w:t>
      </w:r>
      <w:r>
        <w:rPr>
          <w:rStyle w:val="Style19"/>
          <w:rFonts w:eastAsia="TimesNewRomanPSMT" w:cs="Times New Roman" w:ascii="Times New Roman" w:hAnsi="Times New Roman"/>
          <w:sz w:val="28"/>
          <w:szCs w:val="28"/>
        </w:rPr>
        <w:footnoteReference w:id="2"/>
      </w:r>
      <w:r>
        <w:rPr>
          <w:rFonts w:eastAsia="TimesNewRomanPSMT" w:cs="Times New Roman" w:ascii="Times New Roman" w:hAnsi="Times New Roman"/>
          <w:sz w:val="28"/>
          <w:szCs w:val="28"/>
        </w:rPr>
        <w:t xml:space="preserve"> </w:t>
      </w:r>
      <w:r>
        <w:rPr>
          <w:rFonts w:eastAsia="TimesNewRomanPSMT" w:cs="Times New Roman" w:ascii="Times New Roman" w:hAnsi="Times New Roman"/>
          <w:b/>
          <w:sz w:val="28"/>
          <w:szCs w:val="28"/>
        </w:rPr>
        <w:t>не допускает дарение</w:t>
      </w:r>
      <w:r>
        <w:rPr>
          <w:rFonts w:eastAsia="TimesNewRomanPSMT" w:cs="Times New Roman" w:ascii="Times New Roman" w:hAnsi="Times New Roman"/>
          <w:sz w:val="28"/>
          <w:szCs w:val="28"/>
        </w:rPr>
        <w:t xml:space="preserve"> подарков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(за исключением подарков, стоимость которых не превышает трех тысяч рублей).</w:t>
      </w:r>
    </w:p>
    <w:p>
      <w:pPr>
        <w:pStyle w:val="Normal"/>
        <w:rPr>
          <w:rFonts w:ascii="Times New Roman" w:hAnsi="Times New Roman" w:cs="Times New Roman"/>
          <w:sz w:val="28"/>
          <w:szCs w:val="28"/>
        </w:rPr>
      </w:pPr>
      <w:r>
        <w:rPr>
          <w:rFonts w:eastAsia="TimesNewRomanPSMT" w:cs="Times New Roman" w:ascii="Times New Roman" w:hAnsi="Times New Roman"/>
          <w:sz w:val="28"/>
          <w:szCs w:val="28"/>
        </w:rPr>
        <w:t xml:space="preserve">Исключением из данного запрета являются </w:t>
      </w:r>
      <w:r>
        <w:rPr>
          <w:rFonts w:cs="Times New Roman" w:ascii="Times New Roman" w:hAnsi="Times New Roman"/>
          <w:sz w:val="28"/>
          <w:szCs w:val="28"/>
        </w:rPr>
        <w:t>случаи дарения в связи с протокольными мероприятиями, служебными командировками и другими официальными мероприятиями.</w:t>
      </w:r>
    </w:p>
    <w:p>
      <w:pPr>
        <w:pStyle w:val="ListParagraph"/>
        <w:tabs>
          <w:tab w:val="clear" w:pos="709"/>
          <w:tab w:val="left" w:pos="993" w:leader="none"/>
        </w:tabs>
        <w:spacing w:before="0" w:after="0"/>
        <w:ind w:left="0" w:firstLine="709"/>
        <w:contextualSpacing/>
        <w:rPr>
          <w:rFonts w:ascii="Times New Roman" w:hAnsi="Times New Roman" w:eastAsia="TimesNewRomanPSMT" w:cs="Times New Roman"/>
          <w:sz w:val="28"/>
          <w:szCs w:val="28"/>
        </w:rPr>
      </w:pPr>
      <w:r>
        <w:rPr>
          <w:rFonts w:eastAsia="TimesNewRomanPSMT" w:cs="Times New Roman" w:ascii="Times New Roman" w:hAnsi="Times New Roman"/>
          <w:sz w:val="28"/>
          <w:szCs w:val="28"/>
        </w:rPr>
        <w:t xml:space="preserve">При этом положения федеральных законов, регулирующих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Банке России, и особенности прохождения отдельных видов государственной (муниципальной) службы, </w:t>
      </w:r>
      <w:r>
        <w:rPr>
          <w:rFonts w:eastAsia="TimesNewRomanPSMT" w:cs="Times New Roman" w:ascii="Times New Roman" w:hAnsi="Times New Roman"/>
          <w:b/>
          <w:sz w:val="28"/>
          <w:szCs w:val="28"/>
        </w:rPr>
        <w:t>устанавливают запрет на получение</w:t>
      </w:r>
      <w:r>
        <w:rPr>
          <w:rFonts w:eastAsia="TimesNewRomanPSMT" w:cs="Times New Roman" w:ascii="Times New Roman" w:hAnsi="Times New Roman"/>
          <w:sz w:val="28"/>
          <w:szCs w:val="28"/>
        </w:rPr>
        <w:t xml:space="preserve"> указанными лицами и работниками отдельных организаций (далее также – должностные лица) в связи с выполнением должностных (трудовых) обязанностей не предусмотренных законодательством Российской Федерации подарков от физических и юридических лиц.</w:t>
      </w:r>
    </w:p>
    <w:p>
      <w:pPr>
        <w:pStyle w:val="ListParagraph"/>
        <w:tabs>
          <w:tab w:val="clear" w:pos="709"/>
          <w:tab w:val="left" w:pos="993" w:leader="none"/>
        </w:tabs>
        <w:spacing w:before="0" w:after="0"/>
        <w:ind w:left="0" w:firstLine="709"/>
        <w:contextualSpacing/>
        <w:rPr>
          <w:rFonts w:ascii="Times New Roman" w:hAnsi="Times New Roman" w:cs="Times New Roman"/>
          <w:sz w:val="28"/>
          <w:szCs w:val="28"/>
        </w:rPr>
      </w:pPr>
      <w:r>
        <w:rPr>
          <w:rFonts w:eastAsia="TimesNewRomanPSMT" w:cs="Times New Roman" w:ascii="Times New Roman" w:hAnsi="Times New Roman"/>
          <w:sz w:val="28"/>
          <w:szCs w:val="28"/>
        </w:rPr>
        <w:t>2. Применительно к настоящим разъяснениям:</w:t>
      </w:r>
    </w:p>
    <w:p>
      <w:pPr>
        <w:pStyle w:val="Normal"/>
        <w:rPr>
          <w:rFonts w:ascii="Times New Roman" w:hAnsi="Times New Roman" w:cs="Times New Roman"/>
          <w:sz w:val="28"/>
          <w:szCs w:val="28"/>
        </w:rPr>
      </w:pPr>
      <w:r>
        <w:rPr>
          <w:rFonts w:cs="Times New Roman" w:ascii="Times New Roman" w:hAnsi="Times New Roman"/>
          <w:sz w:val="28"/>
          <w:szCs w:val="28"/>
        </w:rP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pPr>
        <w:pStyle w:val="Normal"/>
        <w:rPr>
          <w:rFonts w:ascii="Times New Roman" w:hAnsi="Times New Roman" w:cs="Times New Roman"/>
          <w:sz w:val="28"/>
          <w:szCs w:val="28"/>
        </w:rPr>
      </w:pPr>
      <w:r>
        <w:rPr>
          <w:rFonts w:cs="Times New Roman" w:ascii="Times New Roman" w:hAnsi="Times New Roman"/>
          <w:sz w:val="28"/>
          <w:szCs w:val="28"/>
        </w:rP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p>
    <w:p>
      <w:pPr>
        <w:pStyle w:val="ListParagraph"/>
        <w:tabs>
          <w:tab w:val="clear" w:pos="709"/>
          <w:tab w:val="left" w:pos="99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3.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 10 (далее – Типовое положение, постановление Правительства Российской Федерации № 10), и предусмотренные в нем процедуры не распространяются на:</w:t>
      </w:r>
    </w:p>
    <w:p>
      <w:pPr>
        <w:pStyle w:val="Normal"/>
        <w:rPr>
          <w:rFonts w:ascii="Times New Roman" w:hAnsi="Times New Roman" w:cs="Times New Roman"/>
          <w:sz w:val="28"/>
          <w:szCs w:val="28"/>
        </w:rPr>
      </w:pPr>
      <w:r>
        <w:rPr>
          <w:rFonts w:cs="Times New Roman" w:ascii="Times New Roman" w:hAnsi="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pPr>
        <w:pStyle w:val="Normal"/>
        <w:rPr>
          <w:rFonts w:ascii="Times New Roman" w:hAnsi="Times New Roman" w:cs="Times New Roman"/>
          <w:sz w:val="28"/>
          <w:szCs w:val="28"/>
        </w:rPr>
      </w:pPr>
      <w:r>
        <w:rPr>
          <w:rFonts w:cs="Times New Roman" w:ascii="Times New Roman" w:hAnsi="Times New Roman"/>
          <w:sz w:val="28"/>
          <w:szCs w:val="28"/>
        </w:rPr>
        <w:t>2) цветы, к которым можно отнести срезанные цветы, цветы в горшках, цветочные корзины, искусственные цветы и т.п.;</w:t>
      </w:r>
    </w:p>
    <w:p>
      <w:pPr>
        <w:pStyle w:val="ListParagraph"/>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pPr>
        <w:pStyle w:val="ListParagraph"/>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В этой связи, уведомлять о получении и сдавать вышеуказанные подарки не требуется, они являются собственностью одаряемого.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pPr>
        <w:pStyle w:val="ListParagraph"/>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pPr>
        <w:pStyle w:val="Normal"/>
        <w:tabs>
          <w:tab w:val="clear" w:pos="709"/>
          <w:tab w:val="left" w:pos="993" w:leader="none"/>
          <w:tab w:val="left" w:pos="1276" w:leader="none"/>
        </w:tabs>
        <w:rPr>
          <w:rFonts w:ascii="Times New Roman" w:hAnsi="Times New Roman" w:cs="Times New Roman"/>
          <w:sz w:val="28"/>
          <w:szCs w:val="28"/>
        </w:rPr>
      </w:pPr>
      <w:r>
        <w:rPr>
          <w:rFonts w:cs="Times New Roman" w:ascii="Times New Roman" w:hAnsi="Times New Roman"/>
          <w:sz w:val="28"/>
          <w:szCs w:val="28"/>
        </w:rPr>
        <w:t>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pPr>
        <w:pStyle w:val="Normal"/>
        <w:tabs>
          <w:tab w:val="clear" w:pos="709"/>
          <w:tab w:val="left" w:pos="993" w:leader="none"/>
          <w:tab w:val="left" w:pos="1276" w:leader="none"/>
        </w:tabs>
        <w:rPr>
          <w:rFonts w:ascii="Times New Roman" w:hAnsi="Times New Roman" w:cs="Times New Roman"/>
          <w:sz w:val="28"/>
          <w:szCs w:val="28"/>
        </w:rPr>
      </w:pPr>
      <w:r>
        <w:rPr>
          <w:rFonts w:cs="Times New Roman" w:ascii="Times New Roman" w:hAnsi="Times New Roman"/>
          <w:sz w:val="28"/>
          <w:szCs w:val="28"/>
        </w:rPr>
        <w:t>5. При применении настоящих разъяснений необходимо обратить внимание и учитывать положения Рекомендаций по соблюдению государственными (муниципальными) служащими норм этики в целях противодействия коррупции и иным правонарушениям, подготовленных Минтрудом России и опубликованных на официальном сайте Министерства.</w:t>
      </w:r>
    </w:p>
    <w:p>
      <w:pPr>
        <w:pStyle w:val="Normal"/>
        <w:tabs>
          <w:tab w:val="clear" w:pos="709"/>
          <w:tab w:val="left" w:pos="993" w:leader="none"/>
          <w:tab w:val="left" w:pos="1276" w:leader="none"/>
        </w:tabs>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jc w:val="center"/>
        <w:rPr>
          <w:rFonts w:ascii="Times New Roman" w:hAnsi="Times New Roman" w:cs="Times New Roman"/>
          <w:b/>
          <w:b/>
          <w:sz w:val="28"/>
          <w:szCs w:val="28"/>
        </w:rPr>
      </w:pPr>
      <w:r>
        <w:rPr>
          <w:rFonts w:cs="Times New Roman" w:ascii="Times New Roman" w:hAnsi="Times New Roman"/>
          <w:b/>
          <w:sz w:val="28"/>
          <w:szCs w:val="28"/>
        </w:rPr>
        <w:t>Субъектный состав должностных лиц, для которых установлены процедуры уведомления о получении подарка, сдачи, определения стоимости подарка и его реализации (выкупа)</w:t>
      </w:r>
    </w:p>
    <w:p>
      <w:pPr>
        <w:pStyle w:val="Normal"/>
        <w:spacing w:before="0" w:after="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tabs>
          <w:tab w:val="clear" w:pos="709"/>
          <w:tab w:val="left" w:pos="99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6. Типовым положением определен следующий субъектный состав лиц, на которых распространяется его действие:</w:t>
      </w:r>
    </w:p>
    <w:p>
      <w:pPr>
        <w:pStyle w:val="Normal"/>
        <w:rPr>
          <w:rFonts w:ascii="Times New Roman" w:hAnsi="Times New Roman" w:cs="Times New Roman"/>
          <w:sz w:val="28"/>
          <w:szCs w:val="28"/>
        </w:rPr>
      </w:pPr>
      <w:r>
        <w:rPr>
          <w:rFonts w:cs="Times New Roman" w:ascii="Times New Roman" w:hAnsi="Times New Roman"/>
          <w:sz w:val="28"/>
          <w:szCs w:val="28"/>
        </w:rPr>
        <w:t>1)</w:t>
      </w:r>
      <w:r>
        <w:rPr>
          <w:rFonts w:cs="Times New Roman" w:ascii="Times New Roman" w:hAnsi="Times New Roman"/>
          <w:sz w:val="28"/>
          <w:szCs w:val="28"/>
          <w:lang w:val="en-US"/>
        </w:rPr>
        <w:t> </w:t>
      </w:r>
      <w:r>
        <w:rPr>
          <w:rFonts w:cs="Times New Roman" w:ascii="Times New Roman" w:hAnsi="Times New Roman"/>
          <w:sz w:val="28"/>
          <w:szCs w:val="28"/>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pPr>
        <w:pStyle w:val="Normal"/>
        <w:rPr>
          <w:rFonts w:ascii="Times New Roman" w:hAnsi="Times New Roman" w:cs="Times New Roman"/>
          <w:sz w:val="28"/>
          <w:szCs w:val="28"/>
        </w:rPr>
      </w:pPr>
      <w:r>
        <w:rPr>
          <w:rFonts w:cs="Times New Roman" w:ascii="Times New Roman" w:hAnsi="Times New Roman"/>
          <w:sz w:val="28"/>
          <w:szCs w:val="28"/>
        </w:rPr>
        <w:t>2)</w:t>
      </w:r>
      <w:r>
        <w:rPr>
          <w:rFonts w:cs="Times New Roman" w:ascii="Times New Roman" w:hAnsi="Times New Roman"/>
          <w:sz w:val="28"/>
          <w:szCs w:val="28"/>
          <w:lang w:val="en-US"/>
        </w:rPr>
        <w:t> </w:t>
      </w:r>
      <w:r>
        <w:rPr>
          <w:rFonts w:cs="Times New Roman" w:ascii="Times New Roman" w:hAnsi="Times New Roman"/>
          <w:sz w:val="28"/>
          <w:szCs w:val="28"/>
        </w:rPr>
        <w:t>государственные и муниципальные служащие;</w:t>
      </w:r>
    </w:p>
    <w:p>
      <w:pPr>
        <w:pStyle w:val="Normal"/>
        <w:rPr>
          <w:rFonts w:ascii="Times New Roman" w:hAnsi="Times New Roman" w:cs="Times New Roman"/>
          <w:sz w:val="28"/>
          <w:szCs w:val="28"/>
        </w:rPr>
      </w:pPr>
      <w:r>
        <w:rPr>
          <w:rFonts w:cs="Times New Roman" w:ascii="Times New Roman" w:hAnsi="Times New Roman"/>
          <w:sz w:val="28"/>
          <w:szCs w:val="28"/>
        </w:rPr>
        <w:t>3)</w:t>
      </w:r>
      <w:r>
        <w:rPr>
          <w:rFonts w:cs="Times New Roman" w:ascii="Times New Roman" w:hAnsi="Times New Roman"/>
          <w:sz w:val="28"/>
          <w:szCs w:val="28"/>
          <w:lang w:val="en-US"/>
        </w:rPr>
        <w:t> </w:t>
      </w:r>
      <w:r>
        <w:rPr>
          <w:rFonts w:cs="Times New Roman" w:ascii="Times New Roman" w:hAnsi="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w:t>
      </w:r>
    </w:p>
    <w:p>
      <w:pPr>
        <w:pStyle w:val="Normal"/>
        <w:rPr>
          <w:rFonts w:ascii="Times New Roman" w:hAnsi="Times New Roman" w:cs="Times New Roman"/>
          <w:sz w:val="28"/>
          <w:szCs w:val="28"/>
        </w:rPr>
      </w:pPr>
      <w:r>
        <w:rPr>
          <w:rFonts w:cs="Times New Roman" w:ascii="Times New Roman" w:hAnsi="Times New Roman"/>
          <w:sz w:val="28"/>
          <w:szCs w:val="28"/>
        </w:rPr>
        <w:t>4)</w:t>
      </w:r>
      <w:r>
        <w:rPr>
          <w:rFonts w:cs="Times New Roman" w:ascii="Times New Roman" w:hAnsi="Times New Roman"/>
          <w:sz w:val="28"/>
          <w:szCs w:val="28"/>
          <w:lang w:val="en-US"/>
        </w:rPr>
        <w:t> </w:t>
      </w:r>
      <w:r>
        <w:rPr>
          <w:rFonts w:cs="Times New Roman" w:ascii="Times New Roman" w:hAnsi="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Pr>
          <w:rStyle w:val="Style19"/>
          <w:rFonts w:cs="Times New Roman" w:ascii="Times New Roman" w:hAnsi="Times New Roman"/>
          <w:sz w:val="28"/>
          <w:szCs w:val="28"/>
        </w:rPr>
        <w:footnoteReference w:id="3"/>
      </w:r>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sz w:val="28"/>
          <w:szCs w:val="28"/>
        </w:rPr>
        <w:t>5)</w:t>
      </w:r>
      <w:r>
        <w:rPr>
          <w:rFonts w:cs="Times New Roman" w:ascii="Times New Roman" w:hAnsi="Times New Roman"/>
          <w:sz w:val="28"/>
          <w:szCs w:val="28"/>
          <w:lang w:val="en-US"/>
        </w:rPr>
        <w:t> </w:t>
      </w:r>
      <w:r>
        <w:rPr>
          <w:rFonts w:cs="Times New Roman" w:ascii="Times New Roman" w:hAnsi="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pPr>
        <w:pStyle w:val="Normal"/>
        <w:rPr>
          <w:rFonts w:ascii="Times New Roman" w:hAnsi="Times New Roman" w:cs="Times New Roman"/>
          <w:sz w:val="28"/>
          <w:szCs w:val="28"/>
        </w:rPr>
      </w:pPr>
      <w:r>
        <w:rPr>
          <w:rFonts w:cs="Times New Roman" w:ascii="Times New Roman" w:hAnsi="Times New Roman"/>
          <w:sz w:val="28"/>
          <w:szCs w:val="28"/>
        </w:rPr>
        <w:t>6)</w:t>
      </w:r>
      <w:r>
        <w:rPr>
          <w:rFonts w:cs="Times New Roman" w:ascii="Times New Roman" w:hAnsi="Times New Roman"/>
          <w:sz w:val="28"/>
          <w:szCs w:val="28"/>
          <w:lang w:val="en-US"/>
        </w:rPr>
        <w:t> </w:t>
      </w:r>
      <w:r>
        <w:rPr>
          <w:rFonts w:cs="Times New Roman" w:ascii="Times New Roman" w:hAnsi="Times New Roman"/>
          <w:sz w:val="28"/>
          <w:szCs w:val="28"/>
        </w:rPr>
        <w:t>служащие Банка России.</w:t>
      </w:r>
    </w:p>
    <w:p>
      <w:pPr>
        <w:pStyle w:val="Normal"/>
        <w:rPr>
          <w:rFonts w:ascii="Times New Roman" w:hAnsi="Times New Roman" w:cs="Times New Roman"/>
          <w:sz w:val="28"/>
          <w:szCs w:val="28"/>
        </w:rPr>
      </w:pPr>
      <w:r>
        <w:rPr>
          <w:rFonts w:cs="Times New Roman" w:ascii="Times New Roman" w:hAnsi="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pPr>
        <w:pStyle w:val="ListParagraph"/>
        <w:tabs>
          <w:tab w:val="clear" w:pos="709"/>
          <w:tab w:val="left" w:pos="99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7. 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 мая 2015 г. № 159-рп (распоряжение Президента Российской Федерации № 159-рп).</w:t>
      </w:r>
    </w:p>
    <w:p>
      <w:pPr>
        <w:pStyle w:val="ListParagraph"/>
        <w:tabs>
          <w:tab w:val="clear" w:pos="709"/>
          <w:tab w:val="left" w:pos="99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8. 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 г. № 1088</w:t>
        <w:br/>
        <w:t>(далее – постановление Правительства Российской Федерации № 1088).</w:t>
      </w:r>
    </w:p>
    <w:p>
      <w:pPr>
        <w:pStyle w:val="ListParagraph"/>
        <w:tabs>
          <w:tab w:val="clear" w:pos="709"/>
          <w:tab w:val="left" w:pos="99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9. 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в том числе в отношении подарков, полученных лицами, указанными в пунктах 7 и 8 настоящих разъяснений.</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jc w:val="center"/>
        <w:rPr>
          <w:rFonts w:ascii="Times New Roman" w:hAnsi="Times New Roman" w:cs="Times New Roman"/>
          <w:b/>
          <w:b/>
          <w:sz w:val="28"/>
          <w:szCs w:val="28"/>
        </w:rPr>
      </w:pPr>
      <w:r>
        <w:rPr>
          <w:rFonts w:cs="Times New Roman" w:ascii="Times New Roman" w:hAnsi="Times New Roman"/>
          <w:b/>
          <w:sz w:val="28"/>
          <w:szCs w:val="28"/>
        </w:rPr>
        <w:t>Разъяснения по отдельным вопросам</w:t>
      </w:r>
    </w:p>
    <w:p>
      <w:pPr>
        <w:pStyle w:val="Normal"/>
        <w:tabs>
          <w:tab w:val="clear" w:pos="709"/>
          <w:tab w:val="left" w:pos="993" w:leader="none"/>
        </w:tabs>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Уведомление о получении подарка</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 xml:space="preserve">10.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w:t>
      </w:r>
      <w:r>
        <w:rPr>
          <w:rFonts w:eastAsia="" w:cs="Times New Roman" w:ascii="Times New Roman" w:hAnsi="Times New Roman" w:eastAsiaTheme="minorEastAsia"/>
          <w:sz w:val="28"/>
          <w:szCs w:val="28"/>
        </w:rPr>
        <w:t xml:space="preserve">представляется </w:t>
      </w:r>
      <w:r>
        <w:rPr>
          <w:rFonts w:cs="Times New Roman" w:ascii="Times New Roman" w:hAnsi="Times New Roman"/>
          <w:sz w:val="28"/>
          <w:szCs w:val="28"/>
        </w:rPr>
        <w:t xml:space="preserve">по месту прохождения службы (осуществления трудовой деятельности) </w:t>
      </w:r>
      <w:r>
        <w:rPr>
          <w:rFonts w:eastAsia="" w:cs="Times New Roman" w:ascii="Times New Roman" w:hAnsi="Times New Roman" w:eastAsiaTheme="minorEastAsia"/>
          <w:sz w:val="28"/>
          <w:szCs w:val="28"/>
        </w:rPr>
        <w:t xml:space="preserve">не позднее 3 рабочих дней со дня получения подарка, о получении подарка </w:t>
      </w:r>
      <w:r>
        <w:rPr>
          <w:rFonts w:cs="Times New Roman" w:ascii="Times New Roman" w:hAnsi="Times New Roman"/>
          <w:sz w:val="28"/>
          <w:szCs w:val="28"/>
        </w:rPr>
        <w:t>во время служебной командировки – не позднее 3 рабочих дней со дня возвращения из служебной командировки</w:t>
      </w:r>
      <w:r>
        <w:rPr>
          <w:rStyle w:val="Style19"/>
          <w:rFonts w:cs="Times New Roman" w:ascii="Times New Roman" w:hAnsi="Times New Roman"/>
          <w:sz w:val="28"/>
          <w:szCs w:val="28"/>
        </w:rPr>
        <w:footnoteReference w:id="4"/>
      </w:r>
      <w:r>
        <w:rPr>
          <w:rFonts w:cs="Times New Roman" w:ascii="Times New Roman" w:hAnsi="Times New Roman"/>
          <w:sz w:val="28"/>
          <w:szCs w:val="28"/>
        </w:rPr>
        <w:t>.</w:t>
      </w:r>
    </w:p>
    <w:p>
      <w:pPr>
        <w:pStyle w:val="ConsPlusNormal"/>
        <w:ind w:firstLine="709"/>
        <w:rPr>
          <w:rFonts w:ascii="Times New Roman" w:hAnsi="Times New Roman" w:eastAsia="" w:cs="Times New Roman" w:eastAsiaTheme="minorEastAsia"/>
          <w:sz w:val="28"/>
          <w:szCs w:val="28"/>
        </w:rPr>
      </w:pPr>
      <w:r>
        <w:rPr>
          <w:rFonts w:cs="Times New Roman" w:ascii="Times New Roman" w:hAnsi="Times New Roman"/>
          <w:sz w:val="28"/>
          <w:szCs w:val="28"/>
        </w:rPr>
        <w:t>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регистрируется в день его поступления.</w:t>
      </w:r>
    </w:p>
    <w:p>
      <w:pPr>
        <w:pStyle w:val="ListParagraph"/>
        <w:tabs>
          <w:tab w:val="clear" w:pos="709"/>
          <w:tab w:val="left" w:pos="1134"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11. Уведомление составляется в двух экземплярах</w:t>
      </w:r>
      <w:r>
        <w:rPr>
          <w:rStyle w:val="Style19"/>
          <w:rFonts w:cs="Times New Roman" w:ascii="Times New Roman" w:hAnsi="Times New Roman"/>
          <w:sz w:val="28"/>
          <w:szCs w:val="28"/>
        </w:rPr>
        <w:footnoteReference w:id="5"/>
      </w:r>
      <w:r>
        <w:rPr>
          <w:rFonts w:cs="Times New Roman" w:ascii="Times New Roman" w:hAnsi="Times New Roman"/>
          <w:sz w:val="28"/>
          <w:szCs w:val="28"/>
        </w:rPr>
        <w:t>. Данные уведомления подаются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pPr>
        <w:pStyle w:val="ListParagraph"/>
        <w:tabs>
          <w:tab w:val="clear" w:pos="709"/>
          <w:tab w:val="left" w:pos="1134"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(пункты 1 и 5 распоряжения Президента Российской Федерации № 159-рп).</w:t>
      </w:r>
    </w:p>
    <w:p>
      <w:pPr>
        <w:pStyle w:val="Normal"/>
        <w:rPr>
          <w:rFonts w:ascii="Times New Roman" w:hAnsi="Times New Roman" w:cs="Times New Roman"/>
          <w:sz w:val="28"/>
          <w:szCs w:val="28"/>
        </w:rPr>
      </w:pPr>
      <w:r>
        <w:rPr>
          <w:rFonts w:cs="Times New Roman" w:ascii="Times New Roman" w:hAnsi="Times New Roman"/>
          <w:sz w:val="28"/>
          <w:szCs w:val="28"/>
        </w:rPr>
        <w:t>12.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r>
        <w:rPr>
          <w:rStyle w:val="Style19"/>
          <w:rFonts w:cs="Times New Roman" w:ascii="Times New Roman" w:hAnsi="Times New Roman"/>
          <w:sz w:val="28"/>
          <w:szCs w:val="28"/>
        </w:rPr>
        <w:footnoteReference w:id="6"/>
      </w:r>
      <w:r>
        <w:rPr>
          <w:rFonts w:cs="Times New Roman" w:ascii="Times New Roman" w:hAnsi="Times New Roman"/>
          <w:sz w:val="28"/>
          <w:szCs w:val="28"/>
        </w:rPr>
        <w:t>.</w:t>
      </w:r>
    </w:p>
    <w:p>
      <w:pPr>
        <w:pStyle w:val="ListParagraph"/>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w:t>
      </w:r>
      <w:r>
        <w:rPr>
          <w:rFonts w:eastAsia="Times New Roman" w:cs="Times New Roman" w:ascii="Times New Roman" w:hAnsi="Times New Roman"/>
          <w:sz w:val="28"/>
          <w:szCs w:val="28"/>
        </w:rPr>
        <w:t>При этом сам подарок в данной ситуации может не предъявляться и не сдаваться, за исключением случая, указанного в пункте 18 настоящих разъяснений.</w:t>
      </w:r>
    </w:p>
    <w:p>
      <w:pPr>
        <w:pStyle w:val="ListParagraph"/>
        <w:tabs>
          <w:tab w:val="clear" w:pos="709"/>
          <w:tab w:val="left" w:pos="1134" w:leader="none"/>
        </w:tabs>
        <w:spacing w:before="0" w:after="0"/>
        <w:ind w:left="0" w:firstLine="709"/>
        <w:contextualSpacing/>
        <w:rPr>
          <w:rFonts w:ascii="Times New Roman" w:hAnsi="Times New Roman" w:eastAsia="Times New Roman" w:cs="Times New Roman"/>
          <w:sz w:val="28"/>
          <w:szCs w:val="28"/>
        </w:rPr>
      </w:pPr>
      <w:r>
        <w:rPr>
          <w:rFonts w:eastAsia="Times New Roman" w:cs="Times New Roman" w:ascii="Times New Roman" w:hAnsi="Times New Roman"/>
          <w:sz w:val="28"/>
          <w:szCs w:val="28"/>
        </w:rPr>
        <w:t>13. Уведомление регистрируется</w:t>
      </w:r>
      <w:r>
        <w:rPr>
          <w:rFonts w:cs="Times New Roman" w:ascii="Times New Roman" w:hAnsi="Times New Roman"/>
          <w:sz w:val="28"/>
          <w:szCs w:val="28"/>
        </w:rPr>
        <w:t xml:space="preserve"> </w:t>
      </w:r>
      <w:r>
        <w:rPr>
          <w:rFonts w:eastAsia="Times New Roman" w:cs="Times New Roman" w:ascii="Times New Roman" w:hAnsi="Times New Roman"/>
          <w:sz w:val="28"/>
          <w:szCs w:val="28"/>
        </w:rPr>
        <w:t>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w:t>
      </w:r>
      <w:r>
        <w:rPr>
          <w:rStyle w:val="Style19"/>
          <w:rFonts w:eastAsia="Times New Roman" w:cs="Times New Roman" w:ascii="Times New Roman" w:hAnsi="Times New Roman"/>
          <w:sz w:val="28"/>
          <w:szCs w:val="28"/>
        </w:rPr>
        <w:footnoteReference w:id="7"/>
      </w:r>
      <w:r>
        <w:rPr>
          <w:rFonts w:eastAsia="Times New Roman" w:cs="Times New Roman" w:ascii="Times New Roman" w:hAnsi="Times New Roman"/>
          <w:sz w:val="28"/>
          <w:szCs w:val="28"/>
        </w:rPr>
        <w:t>. Одно уведомление может содержать информацию о нескольких подарках.</w:t>
      </w:r>
    </w:p>
    <w:p>
      <w:pPr>
        <w:pStyle w:val="ListParagraph"/>
        <w:tabs>
          <w:tab w:val="clear" w:pos="709"/>
          <w:tab w:val="left" w:pos="1134" w:leader="none"/>
        </w:tabs>
        <w:spacing w:before="0" w:after="0"/>
        <w:ind w:left="0" w:firstLine="709"/>
        <w:contextualSpacing/>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14. После подачи уведомления у должностного лица останется один экземпляр поданного им уведомления </w:t>
      </w:r>
      <w:r>
        <w:rPr>
          <w:rFonts w:cs="Times New Roman" w:ascii="Times New Roman" w:hAnsi="Times New Roman"/>
          <w:sz w:val="28"/>
          <w:szCs w:val="28"/>
        </w:rPr>
        <w:t>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w:t>
      </w:r>
      <w:r>
        <w:rPr>
          <w:rStyle w:val="Style19"/>
          <w:rFonts w:cs="Times New Roman" w:ascii="Times New Roman" w:hAnsi="Times New Roman"/>
          <w:sz w:val="28"/>
          <w:szCs w:val="28"/>
        </w:rPr>
        <w:footnoteReference w:id="8"/>
      </w:r>
      <w:r>
        <w:rPr>
          <w:rFonts w:cs="Times New Roman" w:ascii="Times New Roman" w:hAnsi="Times New Roman"/>
          <w:sz w:val="28"/>
          <w:szCs w:val="28"/>
        </w:rPr>
        <w:t>.</w:t>
      </w:r>
    </w:p>
    <w:p>
      <w:pPr>
        <w:pStyle w:val="ListParagraph"/>
        <w:tabs>
          <w:tab w:val="clear" w:pos="709"/>
          <w:tab w:val="left" w:pos="1134"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15.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пунктами 5 и 6 постановления Правительства Российской Федерации № 10.</w:t>
      </w:r>
    </w:p>
    <w:p>
      <w:pPr>
        <w:pStyle w:val="Normal"/>
        <w:rPr>
          <w:rFonts w:ascii="Times New Roman" w:hAnsi="Times New Roman" w:cs="Times New Roman"/>
          <w:sz w:val="28"/>
          <w:szCs w:val="28"/>
        </w:rPr>
      </w:pPr>
      <w:r>
        <w:rPr>
          <w:rFonts w:cs="Times New Roman" w:ascii="Times New Roman" w:hAnsi="Times New Roman"/>
          <w:sz w:val="28"/>
          <w:szCs w:val="28"/>
        </w:rPr>
        <w:t>16.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pPr>
        <w:pStyle w:val="Normal"/>
        <w:rPr>
          <w:rFonts w:ascii="Times New Roman" w:hAnsi="Times New Roman" w:cs="Times New Roman"/>
          <w:sz w:val="28"/>
          <w:szCs w:val="28"/>
        </w:rPr>
      </w:pPr>
      <w:r>
        <w:rPr>
          <w:rFonts w:cs="Times New Roman" w:ascii="Times New Roman" w:hAnsi="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bookmarkStart w:id="0" w:name="Par0"/>
      <w:bookmarkEnd w:id="0"/>
    </w:p>
    <w:p>
      <w:pPr>
        <w:pStyle w:val="Normal"/>
        <w:rPr>
          <w:rFonts w:ascii="Times New Roman" w:hAnsi="Times New Roman" w:cs="Times New Roman"/>
          <w:b/>
          <w:b/>
          <w:sz w:val="28"/>
          <w:szCs w:val="28"/>
        </w:rPr>
      </w:pPr>
      <w:r>
        <w:rPr>
          <w:rFonts w:cs="Times New Roman" w:ascii="Times New Roman" w:hAnsi="Times New Roman"/>
          <w:b/>
          <w:sz w:val="28"/>
          <w:szCs w:val="28"/>
        </w:rPr>
        <w:t>Сдача подарка</w:t>
      </w:r>
    </w:p>
    <w:p>
      <w:pPr>
        <w:pStyle w:val="ListParagraph"/>
        <w:tabs>
          <w:tab w:val="clear" w:pos="709"/>
          <w:tab w:val="left" w:pos="1134"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17.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r>
        <w:rPr>
          <w:rStyle w:val="Style19"/>
          <w:rFonts w:cs="Times New Roman" w:ascii="Times New Roman" w:hAnsi="Times New Roman"/>
          <w:sz w:val="28"/>
          <w:szCs w:val="28"/>
        </w:rPr>
        <w:footnoteReference w:id="9"/>
      </w:r>
      <w:r>
        <w:rPr>
          <w:rFonts w:cs="Times New Roman" w:ascii="Times New Roman" w:hAnsi="Times New Roman"/>
          <w:sz w:val="28"/>
          <w:szCs w:val="28"/>
        </w:rPr>
        <w:t>.</w:t>
      </w:r>
    </w:p>
    <w:p>
      <w:pPr>
        <w:pStyle w:val="ListParagraph"/>
        <w:tabs>
          <w:tab w:val="clear" w:pos="709"/>
          <w:tab w:val="left" w:pos="1134"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18. Особенности сдачи подарков для отдельных категорий лиц установлены распоряжением Президента Российской Федерации</w:t>
        <w:br/>
        <w:t>№ 159-рп и постановлением Правительства Российской Федерации № 1088. Лица, замещающие государственную (муниципальную) должность, обязаны сдать подарок независимо от его стоимости</w:t>
      </w:r>
      <w:r>
        <w:rPr>
          <w:rStyle w:val="Style19"/>
          <w:rFonts w:cs="Times New Roman" w:ascii="Times New Roman" w:hAnsi="Times New Roman"/>
          <w:sz w:val="28"/>
          <w:szCs w:val="28"/>
        </w:rPr>
        <w:footnoteReference w:id="10"/>
      </w:r>
      <w:r>
        <w:rPr>
          <w:rFonts w:cs="Times New Roman" w:ascii="Times New Roman" w:hAnsi="Times New Roman"/>
          <w:sz w:val="28"/>
          <w:szCs w:val="28"/>
        </w:rPr>
        <w:t>.</w:t>
      </w:r>
    </w:p>
    <w:p>
      <w:pPr>
        <w:pStyle w:val="ListParagraph"/>
        <w:tabs>
          <w:tab w:val="clear" w:pos="709"/>
          <w:tab w:val="left" w:pos="1134"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19.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w:t>
      </w:r>
      <w:r>
        <w:rPr>
          <w:rStyle w:val="Style19"/>
          <w:rFonts w:cs="Times New Roman" w:ascii="Times New Roman" w:hAnsi="Times New Roman"/>
          <w:sz w:val="28"/>
          <w:szCs w:val="28"/>
        </w:rPr>
        <w:footnoteReference w:id="11"/>
      </w:r>
      <w:r>
        <w:rPr>
          <w:rFonts w:cs="Times New Roman" w:ascii="Times New Roman" w:hAnsi="Times New Roman"/>
          <w:sz w:val="28"/>
          <w:szCs w:val="28"/>
        </w:rPr>
        <w:t>. В целях обеспечения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pPr>
        <w:pStyle w:val="Normal"/>
        <w:rPr>
          <w:rFonts w:ascii="Times New Roman" w:hAnsi="Times New Roman" w:cs="Times New Roman"/>
          <w:sz w:val="28"/>
          <w:szCs w:val="28"/>
        </w:rPr>
      </w:pPr>
      <w:r>
        <w:rPr>
          <w:rFonts w:cs="Times New Roman" w:ascii="Times New Roman" w:hAnsi="Times New Roman"/>
          <w:sz w:val="28"/>
          <w:szCs w:val="28"/>
        </w:rP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pPr>
        <w:pStyle w:val="ListParagraph"/>
        <w:tabs>
          <w:tab w:val="clear" w:pos="709"/>
          <w:tab w:val="left" w:pos="1134"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Лицами, указанными в пункте 8 настоящих разъяснений, полученный подарок должен быть сдан не позднее 3 рабочих дней со дня его получения</w:t>
      </w:r>
      <w:r>
        <w:rPr>
          <w:rStyle w:val="Style19"/>
          <w:rFonts w:cs="Times New Roman" w:ascii="Times New Roman" w:hAnsi="Times New Roman"/>
          <w:sz w:val="28"/>
          <w:szCs w:val="28"/>
        </w:rPr>
        <w:footnoteReference w:id="12"/>
      </w:r>
      <w:r>
        <w:rPr>
          <w:rFonts w:cs="Times New Roman" w:ascii="Times New Roman" w:hAnsi="Times New Roman"/>
          <w:sz w:val="28"/>
          <w:szCs w:val="28"/>
        </w:rPr>
        <w:t>.</w:t>
      </w:r>
    </w:p>
    <w:p>
      <w:pPr>
        <w:pStyle w:val="ListParagraph"/>
        <w:tabs>
          <w:tab w:val="clear" w:pos="709"/>
          <w:tab w:val="left" w:pos="1134"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20. После подписания акта приема-передачи подарок подлежит поставке на учет в соответствии с пунктом 22 настоящих разъяснений.</w:t>
      </w:r>
    </w:p>
    <w:p>
      <w:pPr>
        <w:pStyle w:val="ListParagraph"/>
        <w:tabs>
          <w:tab w:val="clear" w:pos="709"/>
          <w:tab w:val="left" w:pos="1134"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21. До сдачи подарка материально ответственному лицу уполномоченного структурного подразделения (уполномоченного органа или организации) ответственность за утрату или повреждение подарка несет должностное лицо, получившее подарок</w:t>
      </w:r>
      <w:r>
        <w:rPr>
          <w:rStyle w:val="Style19"/>
          <w:rFonts w:cs="Times New Roman" w:ascii="Times New Roman" w:hAnsi="Times New Roman"/>
          <w:sz w:val="28"/>
          <w:szCs w:val="28"/>
        </w:rPr>
        <w:footnoteReference w:id="13"/>
      </w:r>
      <w:r>
        <w:rPr>
          <w:rFonts w:cs="Times New Roman" w:ascii="Times New Roman" w:hAnsi="Times New Roman"/>
          <w:sz w:val="28"/>
          <w:szCs w:val="28"/>
        </w:rPr>
        <w:t>. В случае если сдаваемый подарок поврежден, информацию об этом необходимо указать в акте приема-передачи.</w:t>
      </w:r>
    </w:p>
    <w:p>
      <w:pPr>
        <w:pStyle w:val="Normal"/>
        <w:tabs>
          <w:tab w:val="clear" w:pos="709"/>
          <w:tab w:val="left" w:pos="1134" w:leader="none"/>
        </w:tabs>
        <w:rPr>
          <w:rFonts w:ascii="Times New Roman" w:hAnsi="Times New Roman" w:cs="Times New Roman"/>
          <w:sz w:val="28"/>
          <w:szCs w:val="28"/>
        </w:rPr>
      </w:pPr>
      <w:r>
        <w:rPr>
          <w:rFonts w:cs="Times New Roman" w:ascii="Times New Roman" w:hAnsi="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pPr>
        <w:pStyle w:val="Normal"/>
        <w:rPr>
          <w:rFonts w:ascii="Times New Roman" w:hAnsi="Times New Roman" w:cs="Times New Roman"/>
          <w:b/>
          <w:b/>
          <w:sz w:val="28"/>
          <w:szCs w:val="28"/>
        </w:rPr>
      </w:pPr>
      <w:r>
        <w:rPr>
          <w:rFonts w:cs="Times New Roman" w:ascii="Times New Roman" w:hAnsi="Times New Roman"/>
          <w:b/>
          <w:sz w:val="28"/>
          <w:szCs w:val="28"/>
        </w:rPr>
        <w:t>Учет подарка</w:t>
      </w:r>
    </w:p>
    <w:p>
      <w:pPr>
        <w:pStyle w:val="ListParagraph"/>
        <w:tabs>
          <w:tab w:val="clear" w:pos="709"/>
          <w:tab w:val="left" w:pos="284" w:leader="none"/>
          <w:tab w:val="left" w:pos="99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 xml:space="preserve">22. До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 </w:t>
      </w:r>
    </w:p>
    <w:p>
      <w:pPr>
        <w:pStyle w:val="Normal"/>
        <w:tabs>
          <w:tab w:val="clear" w:pos="709"/>
          <w:tab w:val="left" w:pos="284" w:leader="none"/>
          <w:tab w:val="left" w:pos="993" w:leader="none"/>
        </w:tabs>
        <w:rPr>
          <w:rFonts w:ascii="Times New Roman" w:hAnsi="Times New Roman" w:cs="Times New Roman"/>
          <w:sz w:val="28"/>
          <w:szCs w:val="28"/>
        </w:rPr>
      </w:pPr>
      <w:r>
        <w:rPr>
          <w:rFonts w:cs="Times New Roman" w:ascii="Times New Roman" w:hAnsi="Times New Roman"/>
          <w:sz w:val="28"/>
          <w:szCs w:val="28"/>
        </w:rPr>
        <w:t>В целях обеспечения надлежащего контроля за сохранностью подарков, принятых на хранение, следует осуществлять их учет вне балансовых счетов, а именно на забалансовом счете 02 «Материальные ценности на хранении»</w:t>
        <w:br/>
        <w:t>(до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pPr>
        <w:pStyle w:val="ListParagraph"/>
        <w:tabs>
          <w:tab w:val="clear" w:pos="709"/>
          <w:tab w:val="left" w:pos="284" w:leader="none"/>
          <w:tab w:val="left" w:pos="99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 xml:space="preserve">23. 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w:t>
      </w:r>
      <w:bookmarkStart w:id="1" w:name="_GoBack"/>
      <w:bookmarkEnd w:id="1"/>
      <w:r>
        <w:rPr>
          <w:rFonts w:cs="Times New Roman" w:ascii="Times New Roman" w:hAnsi="Times New Roman"/>
          <w:sz w:val="28"/>
          <w:szCs w:val="28"/>
        </w:rPr>
        <w:t>подарка в целях принятия его к бухгалтерскому учету не требуется.</w:t>
      </w:r>
    </w:p>
    <w:p>
      <w:pPr>
        <w:pStyle w:val="Western"/>
        <w:tabs>
          <w:tab w:val="clear" w:pos="709"/>
          <w:tab w:val="left" w:pos="284" w:leader="none"/>
          <w:tab w:val="left" w:pos="993" w:leader="none"/>
        </w:tabs>
        <w:spacing w:beforeAutospacing="0" w:before="0" w:afterAutospacing="0" w:after="0"/>
        <w:rPr>
          <w:sz w:val="28"/>
          <w:szCs w:val="28"/>
        </w:rPr>
      </w:pPr>
      <w:r>
        <w:rPr>
          <w:sz w:val="28"/>
          <w:szCs w:val="28"/>
        </w:rPr>
        <w:t>24.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pPr>
        <w:pStyle w:val="Normal"/>
        <w:rPr>
          <w:rFonts w:ascii="Times New Roman" w:hAnsi="Times New Roman" w:cs="Times New Roman"/>
          <w:sz w:val="28"/>
          <w:szCs w:val="28"/>
        </w:rPr>
      </w:pPr>
      <w:r>
        <w:rPr>
          <w:rFonts w:cs="Times New Roman" w:ascii="Times New Roman" w:hAnsi="Times New Roman"/>
          <w:sz w:val="28"/>
          <w:szCs w:val="28"/>
        </w:rPr>
        <w:t>25.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pPr>
        <w:pStyle w:val="ListParagraph"/>
        <w:tabs>
          <w:tab w:val="clear" w:pos="709"/>
          <w:tab w:val="left" w:pos="284" w:leader="none"/>
          <w:tab w:val="left" w:pos="99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26.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возврату сдавшему его должностному лицу с одновременным списанием с забалансового счета. Отказ должностного лица от приема данного подарка нормативными правовыми актами не предусмотрен, в связи с чем подарок должен быть ему возвращен.</w:t>
      </w:r>
    </w:p>
    <w:p>
      <w:pPr>
        <w:pStyle w:val="ListParagraph"/>
        <w:tabs>
          <w:tab w:val="clear" w:pos="709"/>
          <w:tab w:val="left" w:pos="284" w:leader="none"/>
          <w:tab w:val="left" w:pos="99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27. Возврат подарка оформляется соответствующим актом возврата подарка.</w:t>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Выкуп подарка </w:t>
      </w:r>
    </w:p>
    <w:p>
      <w:pPr>
        <w:pStyle w:val="ListParagraph"/>
        <w:tabs>
          <w:tab w:val="clear" w:pos="709"/>
          <w:tab w:val="left" w:pos="99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28. Право выкупа подарка может быть реализовано должностным лицом, сдавшим подарок, в течение двух месяцев со дня сдачи его по акту приема-передачи подарка</w:t>
      </w:r>
      <w:r>
        <w:rPr>
          <w:rStyle w:val="Style19"/>
          <w:rFonts w:cs="Times New Roman" w:ascii="Times New Roman" w:hAnsi="Times New Roman"/>
          <w:sz w:val="28"/>
          <w:szCs w:val="28"/>
        </w:rPr>
        <w:footnoteReference w:id="14"/>
      </w:r>
      <w:r>
        <w:rPr>
          <w:rFonts w:cs="Times New Roman" w:ascii="Times New Roman" w:hAnsi="Times New Roman"/>
          <w:sz w:val="28"/>
          <w:szCs w:val="28"/>
        </w:rPr>
        <w:t>.</w:t>
      </w:r>
    </w:p>
    <w:p>
      <w:pPr>
        <w:pStyle w:val="ListParagraph"/>
        <w:numPr>
          <w:ilvl w:val="0"/>
          <w:numId w:val="0"/>
        </w:numPr>
        <w:tabs>
          <w:tab w:val="clear" w:pos="709"/>
          <w:tab w:val="left" w:pos="993" w:leader="none"/>
        </w:tabs>
        <w:spacing w:before="0" w:after="0"/>
        <w:ind w:left="0" w:firstLine="709"/>
        <w:contextualSpacing/>
        <w:outlineLvl w:val="0"/>
        <w:rPr>
          <w:rFonts w:ascii="Times New Roman" w:hAnsi="Times New Roman" w:eastAsia="Times New Roman" w:cs="Times New Roman"/>
          <w:sz w:val="28"/>
          <w:szCs w:val="28"/>
        </w:rPr>
      </w:pPr>
      <w:r>
        <w:rPr>
          <w:rFonts w:cs="Times New Roman" w:ascii="Times New Roman" w:hAnsi="Times New Roman"/>
          <w:sz w:val="28"/>
          <w:szCs w:val="28"/>
        </w:rPr>
        <w:t xml:space="preserve">29. Заявление о выкупе подарков составляется в двух экземплярах и  подается в тоже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которых предусмотрено пунктами 5 и 6 постановления Правительства Российской Федерации № 10). </w:t>
      </w:r>
    </w:p>
    <w:p>
      <w:pPr>
        <w:pStyle w:val="ListParagraph"/>
        <w:tabs>
          <w:tab w:val="clear" w:pos="709"/>
          <w:tab w:val="left" w:pos="993" w:leader="none"/>
        </w:tabs>
        <w:spacing w:before="0" w:after="0"/>
        <w:ind w:left="0" w:firstLine="709"/>
        <w:contextualSpacing/>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30. После подачи заявления о выкупе подарка у должностного лица останется один экземпляр поданного им заявления </w:t>
      </w:r>
      <w:r>
        <w:rPr>
          <w:rFonts w:cs="Times New Roman" w:ascii="Times New Roman" w:hAnsi="Times New Roman"/>
          <w:sz w:val="28"/>
          <w:szCs w:val="28"/>
        </w:rPr>
        <w:t xml:space="preserve">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w:t>
      </w:r>
      <w:r>
        <w:rPr>
          <w:rFonts w:eastAsia="Times New Roman" w:cs="Times New Roman" w:ascii="Times New Roman" w:hAnsi="Times New Roman"/>
          <w:sz w:val="28"/>
          <w:szCs w:val="28"/>
        </w:rPr>
        <w:t>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pPr>
        <w:pStyle w:val="Normal"/>
        <w:rPr>
          <w:rFonts w:ascii="Times New Roman" w:hAnsi="Times New Roman" w:cs="Times New Roman"/>
          <w:sz w:val="28"/>
          <w:szCs w:val="28"/>
        </w:rPr>
      </w:pPr>
      <w:r>
        <w:rPr>
          <w:rFonts w:cs="Times New Roman" w:ascii="Times New Roman" w:hAnsi="Times New Roman"/>
          <w:sz w:val="28"/>
          <w:szCs w:val="28"/>
        </w:rPr>
        <w:t>31. 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Федеральный закон от 29 июля 1998 г. № 135-ФЗ "Об оценочной деятельности в Российской Федерации"  и должна быть завершена в течение 3 месяцев со дня поступления заявления о выкупе подарка</w:t>
      </w:r>
      <w:r>
        <w:rPr>
          <w:rStyle w:val="Style19"/>
          <w:rFonts w:cs="Times New Roman" w:ascii="Times New Roman" w:hAnsi="Times New Roman"/>
          <w:sz w:val="28"/>
          <w:szCs w:val="28"/>
        </w:rPr>
        <w:footnoteReference w:id="15"/>
      </w:r>
      <w:r>
        <w:rPr>
          <w:rFonts w:cs="Times New Roman" w:ascii="Times New Roman" w:hAnsi="Times New Roman"/>
          <w:sz w:val="28"/>
          <w:szCs w:val="28"/>
        </w:rPr>
        <w:t>.</w:t>
      </w:r>
    </w:p>
    <w:p>
      <w:pPr>
        <w:pStyle w:val="ListParagraph"/>
        <w:tabs>
          <w:tab w:val="clear" w:pos="709"/>
          <w:tab w:val="left" w:pos="99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32.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w:t>
      </w:r>
      <w:r>
        <w:rPr>
          <w:rStyle w:val="Style19"/>
          <w:rFonts w:cs="Times New Roman" w:ascii="Times New Roman" w:hAnsi="Times New Roman"/>
          <w:sz w:val="28"/>
          <w:szCs w:val="28"/>
        </w:rPr>
        <w:footnoteReference w:id="16"/>
      </w:r>
      <w:r>
        <w:rPr>
          <w:rFonts w:cs="Times New Roman" w:ascii="Times New Roman" w:hAnsi="Times New Roman"/>
          <w:sz w:val="28"/>
          <w:szCs w:val="28"/>
        </w:rPr>
        <w:t xml:space="preserve">. </w:t>
      </w:r>
    </w:p>
    <w:p>
      <w:pPr>
        <w:pStyle w:val="ListParagraph"/>
        <w:tabs>
          <w:tab w:val="clear" w:pos="709"/>
          <w:tab w:val="left" w:pos="99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33.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забалансового счета, включения в реестр имущества и хранится у материально ответственного лица.</w:t>
      </w:r>
    </w:p>
    <w:p>
      <w:pPr>
        <w:pStyle w:val="Normal"/>
        <w:rPr>
          <w:rFonts w:ascii="Times New Roman" w:hAnsi="Times New Roman" w:cs="Times New Roman"/>
          <w:b/>
          <w:b/>
          <w:sz w:val="28"/>
          <w:szCs w:val="28"/>
        </w:rPr>
      </w:pPr>
      <w:r>
        <w:rPr>
          <w:rFonts w:cs="Times New Roman" w:ascii="Times New Roman" w:hAnsi="Times New Roman"/>
          <w:b/>
          <w:bCs/>
          <w:sz w:val="28"/>
          <w:szCs w:val="28"/>
        </w:rPr>
        <w:t>Порядок действий при получении подарка, изготовленного из драгоценных металлов и (или) драгоценных камней</w:t>
      </w:r>
    </w:p>
    <w:p>
      <w:pPr>
        <w:pStyle w:val="ListParagraph"/>
        <w:tabs>
          <w:tab w:val="clear" w:pos="709"/>
          <w:tab w:val="left" w:pos="99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34.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Pr>
          <w:rStyle w:val="Style19"/>
          <w:rFonts w:cs="Times New Roman" w:ascii="Times New Roman" w:hAnsi="Times New Roman"/>
          <w:sz w:val="28"/>
          <w:szCs w:val="28"/>
        </w:rPr>
        <w:footnoteReference w:id="17"/>
      </w:r>
      <w:r>
        <w:rPr>
          <w:rFonts w:cs="Times New Roman" w:ascii="Times New Roman" w:hAnsi="Times New Roman"/>
          <w:sz w:val="28"/>
          <w:szCs w:val="28"/>
        </w:rPr>
        <w:t>.</w:t>
      </w:r>
    </w:p>
    <w:p>
      <w:pPr>
        <w:pStyle w:val="ConsPlusNormal"/>
        <w:tabs>
          <w:tab w:val="clear" w:pos="709"/>
          <w:tab w:val="left" w:pos="993" w:leader="none"/>
        </w:tabs>
        <w:ind w:firstLine="709"/>
        <w:rPr>
          <w:rFonts w:ascii="Times New Roman" w:hAnsi="Times New Roman" w:eastAsia="" w:cs="Times New Roman" w:eastAsiaTheme="minorEastAsia"/>
          <w:sz w:val="28"/>
          <w:szCs w:val="28"/>
        </w:rPr>
      </w:pPr>
      <w:r>
        <w:rPr>
          <w:rFonts w:cs="Times New Roman" w:ascii="Times New Roman" w:hAnsi="Times New Roman"/>
          <w:sz w:val="28"/>
          <w:szCs w:val="28"/>
        </w:rPr>
        <w:t xml:space="preserve">35.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Pr>
          <w:rFonts w:eastAsia="" w:cs="Times New Roman" w:ascii="Times New Roman" w:hAnsi="Times New Roman" w:eastAsiaTheme="minorEastAsia"/>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Pr>
          <w:rFonts w:cs="Times New Roman" w:ascii="Times New Roman" w:hAnsi="Times New Roman"/>
          <w:sz w:val="28"/>
          <w:szCs w:val="28"/>
        </w:rPr>
        <w:t>оценки стоимости подарка для его выкупа.</w:t>
      </w:r>
    </w:p>
    <w:p>
      <w:pPr>
        <w:pStyle w:val="ConsPlusNormal"/>
        <w:tabs>
          <w:tab w:val="clear" w:pos="709"/>
          <w:tab w:val="left" w:pos="993" w:leader="none"/>
        </w:tabs>
        <w:ind w:firstLine="709"/>
        <w:rPr>
          <w:rFonts w:ascii="Times New Roman" w:hAnsi="Times New Roman" w:cs="Times New Roman"/>
          <w:sz w:val="28"/>
          <w:szCs w:val="28"/>
        </w:rPr>
      </w:pPr>
      <w:r>
        <w:rPr>
          <w:rFonts w:cs="Times New Roman" w:ascii="Times New Roman" w:hAnsi="Times New Roman"/>
          <w:sz w:val="28"/>
          <w:szCs w:val="28"/>
        </w:rPr>
        <w:t>36.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pPr>
        <w:pStyle w:val="ConsPlusNormal"/>
        <w:tabs>
          <w:tab w:val="clear" w:pos="709"/>
          <w:tab w:val="left" w:pos="993" w:leader="none"/>
        </w:tabs>
        <w:ind w:firstLine="709"/>
        <w:rPr>
          <w:rFonts w:ascii="Times New Roman" w:hAnsi="Times New Roman" w:cs="Times New Roman"/>
          <w:sz w:val="28"/>
          <w:szCs w:val="28"/>
        </w:rPr>
      </w:pPr>
      <w:r>
        <w:rPr>
          <w:rFonts w:cs="Times New Roman" w:ascii="Times New Roman" w:hAnsi="Times New Roman"/>
          <w:sz w:val="28"/>
          <w:szCs w:val="28"/>
        </w:rPr>
        <w:t xml:space="preserve">37.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pPr>
        <w:pStyle w:val="ConsPlusNormal"/>
        <w:tabs>
          <w:tab w:val="clear" w:pos="709"/>
          <w:tab w:val="left" w:pos="993" w:leader="none"/>
        </w:tabs>
        <w:ind w:firstLine="709"/>
        <w:rPr>
          <w:rFonts w:ascii="Times New Roman" w:hAnsi="Times New Roman" w:cs="Times New Roman"/>
          <w:sz w:val="28"/>
          <w:szCs w:val="28"/>
        </w:rPr>
      </w:pPr>
      <w:r>
        <w:rPr>
          <w:rFonts w:cs="Times New Roman" w:ascii="Times New Roman" w:hAnsi="Times New Roman"/>
          <w:sz w:val="28"/>
          <w:szCs w:val="28"/>
        </w:rPr>
        <w:t>38.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pPr>
        <w:pStyle w:val="ConsPlusNormal"/>
        <w:tabs>
          <w:tab w:val="left" w:pos="709" w:leader="none"/>
          <w:tab w:val="left" w:pos="993" w:leader="none"/>
        </w:tabs>
        <w:ind w:firstLine="709"/>
        <w:rPr>
          <w:rFonts w:ascii="Times New Roman" w:hAnsi="Times New Roman" w:cs="Times New Roman"/>
          <w:sz w:val="28"/>
          <w:szCs w:val="28"/>
        </w:rPr>
      </w:pPr>
      <w:r>
        <w:rPr>
          <w:rFonts w:cs="Times New Roman" w:ascii="Times New Roman" w:hAnsi="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pPr>
        <w:pStyle w:val="ConsPlusNormal"/>
        <w:tabs>
          <w:tab w:val="clear" w:pos="709"/>
          <w:tab w:val="left" w:pos="993" w:leader="none"/>
        </w:tabs>
        <w:ind w:firstLine="709"/>
        <w:rPr>
          <w:rFonts w:ascii="Times New Roman" w:hAnsi="Times New Roman" w:cs="Times New Roman"/>
          <w:sz w:val="28"/>
          <w:szCs w:val="28"/>
        </w:rPr>
      </w:pPr>
      <w:r>
        <w:rPr>
          <w:rFonts w:cs="Times New Roman" w:ascii="Times New Roman" w:hAnsi="Times New Roman"/>
          <w:sz w:val="28"/>
          <w:szCs w:val="28"/>
        </w:rPr>
        <w:t>39.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его уполномоченному представителю.</w:t>
      </w:r>
    </w:p>
    <w:p>
      <w:pPr>
        <w:pStyle w:val="ConsPlusNormal"/>
        <w:tabs>
          <w:tab w:val="clear" w:pos="709"/>
          <w:tab w:val="left" w:pos="993" w:leader="none"/>
        </w:tabs>
        <w:ind w:firstLine="709"/>
        <w:rPr>
          <w:rFonts w:ascii="Times New Roman" w:hAnsi="Times New Roman" w:cs="Times New Roman"/>
          <w:sz w:val="28"/>
          <w:szCs w:val="28"/>
        </w:rPr>
      </w:pPr>
      <w:r>
        <w:rPr>
          <w:rFonts w:cs="Times New Roman" w:ascii="Times New Roman" w:hAnsi="Times New Roman"/>
          <w:sz w:val="28"/>
          <w:szCs w:val="28"/>
        </w:rPr>
        <w:t>40.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pPr>
        <w:pStyle w:val="ConsPlusNormal"/>
        <w:tabs>
          <w:tab w:val="clear" w:pos="709"/>
          <w:tab w:val="left" w:pos="993" w:leader="none"/>
        </w:tabs>
        <w:ind w:firstLine="709"/>
        <w:rPr>
          <w:rFonts w:ascii="Times New Roman" w:hAnsi="Times New Roman" w:cs="Times New Roman"/>
          <w:sz w:val="28"/>
          <w:szCs w:val="28"/>
        </w:rPr>
      </w:pPr>
      <w:r>
        <w:rPr>
          <w:rFonts w:cs="Times New Roman" w:ascii="Times New Roman" w:hAnsi="Times New Roman"/>
          <w:sz w:val="28"/>
          <w:szCs w:val="28"/>
        </w:rPr>
        <w:t>41.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что подарок не содержит в себе более 10% драгоценных металлов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pPr>
        <w:pStyle w:val="Normal"/>
        <w:rPr>
          <w:rFonts w:ascii="Times New Roman" w:hAnsi="Times New Roman" w:cs="Times New Roman"/>
          <w:b/>
          <w:b/>
          <w:bCs/>
          <w:sz w:val="28"/>
          <w:szCs w:val="28"/>
        </w:rPr>
      </w:pPr>
      <w:r>
        <w:rPr>
          <w:rFonts w:cs="Times New Roman" w:ascii="Times New Roman" w:hAnsi="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pPr>
        <w:pStyle w:val="ListParagraph"/>
        <w:tabs>
          <w:tab w:val="clear" w:pos="709"/>
          <w:tab w:val="left" w:pos="99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42.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pPr>
        <w:pStyle w:val="ListParagraph"/>
        <w:tabs>
          <w:tab w:val="clear" w:pos="709"/>
          <w:tab w:val="left" w:pos="99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pPr>
        <w:pStyle w:val="ListParagraph"/>
        <w:tabs>
          <w:tab w:val="clear" w:pos="709"/>
          <w:tab w:val="left" w:pos="99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pPr>
        <w:pStyle w:val="ListParagraph"/>
        <w:tabs>
          <w:tab w:val="clear" w:pos="709"/>
          <w:tab w:val="left" w:pos="99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 xml:space="preserve">При этом такой подарок может быть подарен иным лицам при проведении </w:t>
      </w:r>
      <w:r>
        <w:rPr>
          <w:rFonts w:eastAsia="TimesNewRomanPSMT" w:cs="Times New Roman" w:ascii="Times New Roman" w:hAnsi="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pPr>
        <w:pStyle w:val="ListParagraph"/>
        <w:tabs>
          <w:tab w:val="clear" w:pos="709"/>
          <w:tab w:val="left" w:pos="993" w:leader="none"/>
          <w:tab w:val="left" w:pos="1134"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43.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pPr>
        <w:pStyle w:val="ListParagraph"/>
        <w:tabs>
          <w:tab w:val="clear" w:pos="709"/>
          <w:tab w:val="left" w:pos="993" w:leader="none"/>
          <w:tab w:val="left" w:pos="1134"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44.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 либо передаче такого подарка для использования в подведомственную организацию</w:t>
      </w:r>
      <w:r>
        <w:rPr>
          <w:rStyle w:val="Style19"/>
          <w:rFonts w:cs="Times New Roman" w:ascii="Times New Roman" w:hAnsi="Times New Roman"/>
          <w:sz w:val="28"/>
          <w:szCs w:val="28"/>
        </w:rPr>
        <w:footnoteReference w:id="18"/>
      </w:r>
      <w:r>
        <w:rPr>
          <w:rFonts w:cs="Times New Roman" w:ascii="Times New Roman" w:hAnsi="Times New Roman"/>
          <w:sz w:val="28"/>
          <w:szCs w:val="28"/>
        </w:rPr>
        <w:t>.</w:t>
      </w:r>
    </w:p>
    <w:p>
      <w:pPr>
        <w:pStyle w:val="ListParagraph"/>
        <w:tabs>
          <w:tab w:val="clear" w:pos="709"/>
          <w:tab w:val="left" w:pos="99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45. 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 списания имущества, установленных Правительством Российской Федерации, и иными нормативными правовыми актами Российской Федерации</w:t>
      </w:r>
      <w:r>
        <w:rPr>
          <w:rStyle w:val="Style19"/>
          <w:rFonts w:cs="Times New Roman" w:ascii="Times New Roman" w:hAnsi="Times New Roman"/>
          <w:sz w:val="28"/>
          <w:szCs w:val="28"/>
        </w:rPr>
        <w:footnoteReference w:id="19"/>
      </w:r>
      <w:r>
        <w:rPr>
          <w:rFonts w:cs="Times New Roman" w:ascii="Times New Roman" w:hAnsi="Times New Roman"/>
          <w:sz w:val="28"/>
          <w:szCs w:val="28"/>
        </w:rPr>
        <w:t>.</w:t>
      </w:r>
    </w:p>
    <w:p>
      <w:pPr>
        <w:pStyle w:val="ListParagraph"/>
        <w:tabs>
          <w:tab w:val="clear" w:pos="709"/>
          <w:tab w:val="left" w:pos="99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 (Гражданским кодексом Российской Федерации, Федеральным законом</w:t>
        <w:br/>
        <w:t>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pPr>
        <w:pStyle w:val="ListParagraph"/>
        <w:tabs>
          <w:tab w:val="clear" w:pos="709"/>
          <w:tab w:val="left" w:pos="99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pPr>
        <w:pStyle w:val="ListParagraph"/>
        <w:tabs>
          <w:tab w:val="clear" w:pos="709"/>
          <w:tab w:val="left" w:pos="99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46.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pPr>
        <w:pStyle w:val="ListParagraph"/>
        <w:tabs>
          <w:tab w:val="clear" w:pos="709"/>
          <w:tab w:val="left" w:pos="99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 xml:space="preserve">47.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 </w:t>
      </w:r>
    </w:p>
    <w:p>
      <w:pPr>
        <w:pStyle w:val="ListParagraph"/>
        <w:tabs>
          <w:tab w:val="clear" w:pos="709"/>
          <w:tab w:val="left" w:pos="99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48.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Pr>
          <w:rStyle w:val="Style19"/>
          <w:rFonts w:cs="Times New Roman" w:ascii="Times New Roman" w:hAnsi="Times New Roman"/>
          <w:sz w:val="28"/>
          <w:szCs w:val="28"/>
        </w:rPr>
        <w:footnoteReference w:id="20"/>
      </w:r>
      <w:r>
        <w:rPr>
          <w:rFonts w:cs="Times New Roman" w:ascii="Times New Roman" w:hAnsi="Times New Roman"/>
          <w:sz w:val="28"/>
          <w:szCs w:val="28"/>
        </w:rPr>
        <w:t xml:space="preserve">. </w:t>
      </w:r>
    </w:p>
    <w:p>
      <w:pPr>
        <w:pStyle w:val="ListParagraph"/>
        <w:tabs>
          <w:tab w:val="clear" w:pos="709"/>
          <w:tab w:val="left" w:pos="993" w:leader="none"/>
        </w:tabs>
        <w:spacing w:before="0" w:after="0"/>
        <w:ind w:left="0" w:firstLine="709"/>
        <w:contextualSpacing/>
        <w:rPr>
          <w:rFonts w:ascii="Times New Roman" w:hAnsi="Times New Roman" w:cs="Times New Roman"/>
          <w:b/>
          <w:b/>
          <w:sz w:val="28"/>
          <w:szCs w:val="28"/>
        </w:rPr>
      </w:pPr>
      <w:r>
        <w:rPr>
          <w:rFonts w:cs="Times New Roman" w:ascii="Times New Roman" w:hAnsi="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pPr>
        <w:pStyle w:val="ConsPlusNormal"/>
        <w:tabs>
          <w:tab w:val="clear" w:pos="709"/>
          <w:tab w:val="left" w:pos="1134" w:leader="none"/>
          <w:tab w:val="left" w:pos="1843" w:leader="none"/>
        </w:tabs>
        <w:ind w:firstLine="709"/>
        <w:rPr>
          <w:rFonts w:ascii="Times New Roman" w:hAnsi="Times New Roman" w:cs="Times New Roman"/>
          <w:sz w:val="28"/>
          <w:szCs w:val="28"/>
        </w:rPr>
      </w:pPr>
      <w:r>
        <w:rPr>
          <w:rFonts w:cs="Times New Roman" w:ascii="Times New Roman" w:hAnsi="Times New Roman"/>
          <w:sz w:val="28"/>
          <w:szCs w:val="28"/>
        </w:rPr>
        <w:t>49. 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br/>
        <w:t>от 16 июля 2007 г. № 447 (далее – Положение об учете).</w:t>
      </w:r>
    </w:p>
    <w:p>
      <w:pPr>
        <w:pStyle w:val="ConsPlusNormal"/>
        <w:tabs>
          <w:tab w:val="clear" w:pos="709"/>
          <w:tab w:val="left" w:pos="1134" w:leader="none"/>
          <w:tab w:val="left" w:pos="1843" w:leader="none"/>
        </w:tabs>
        <w:ind w:firstLine="709"/>
        <w:rPr>
          <w:rFonts w:ascii="Times New Roman" w:hAnsi="Times New Roman" w:cs="Times New Roman"/>
          <w:sz w:val="28"/>
          <w:szCs w:val="28"/>
        </w:rPr>
      </w:pPr>
      <w:r>
        <w:rPr>
          <w:rFonts w:cs="Times New Roman" w:ascii="Times New Roman" w:hAnsi="Times New Roman"/>
          <w:sz w:val="28"/>
          <w:szCs w:val="28"/>
        </w:rPr>
        <w:t>50.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Pr>
          <w:rStyle w:val="Style19"/>
          <w:rFonts w:cs="Times New Roman" w:ascii="Times New Roman" w:hAnsi="Times New Roman"/>
          <w:sz w:val="28"/>
          <w:szCs w:val="28"/>
        </w:rPr>
        <w:footnoteReference w:id="21"/>
      </w:r>
      <w:r>
        <w:rPr>
          <w:rFonts w:cs="Times New Roman" w:ascii="Times New Roman" w:hAnsi="Times New Roman"/>
          <w:sz w:val="28"/>
          <w:szCs w:val="28"/>
        </w:rPr>
        <w:t xml:space="preserve">. </w:t>
      </w:r>
    </w:p>
    <w:p>
      <w:pPr>
        <w:pStyle w:val="ListParagraph"/>
        <w:numPr>
          <w:ilvl w:val="0"/>
          <w:numId w:val="0"/>
        </w:numPr>
        <w:tabs>
          <w:tab w:val="clear" w:pos="709"/>
          <w:tab w:val="left" w:pos="1134" w:leader="none"/>
          <w:tab w:val="left" w:pos="1843" w:leader="none"/>
        </w:tabs>
        <w:spacing w:before="0" w:after="0"/>
        <w:ind w:left="0" w:firstLine="709"/>
        <w:contextualSpacing/>
        <w:outlineLvl w:val="0"/>
        <w:rPr>
          <w:rFonts w:ascii="Times New Roman" w:hAnsi="Times New Roman" w:cs="Times New Roman"/>
          <w:sz w:val="28"/>
          <w:szCs w:val="28"/>
        </w:rPr>
      </w:pPr>
      <w:r>
        <w:rPr>
          <w:rFonts w:cs="Times New Roman" w:ascii="Times New Roman" w:hAnsi="Times New Roman"/>
          <w:sz w:val="28"/>
          <w:szCs w:val="28"/>
        </w:rPr>
        <w:t>51.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pPr>
        <w:pStyle w:val="ListParagraph"/>
        <w:numPr>
          <w:ilvl w:val="0"/>
          <w:numId w:val="0"/>
        </w:numPr>
        <w:tabs>
          <w:tab w:val="clear" w:pos="709"/>
          <w:tab w:val="left" w:pos="1134" w:leader="none"/>
          <w:tab w:val="left" w:pos="1843" w:leader="none"/>
        </w:tabs>
        <w:spacing w:before="0" w:after="0"/>
        <w:ind w:left="0" w:firstLine="709"/>
        <w:contextualSpacing/>
        <w:outlineLvl w:val="0"/>
        <w:rPr>
          <w:rFonts w:ascii="Times New Roman" w:hAnsi="Times New Roman" w:cs="Times New Roman"/>
          <w:sz w:val="28"/>
          <w:szCs w:val="28"/>
        </w:rPr>
      </w:pPr>
      <w:r>
        <w:rPr>
          <w:rFonts w:cs="Times New Roman" w:ascii="Times New Roman" w:hAnsi="Times New Roman"/>
          <w:sz w:val="28"/>
          <w:szCs w:val="28"/>
        </w:rPr>
        <w:t>52. 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России от 30 августа 2011 г. № 424.</w:t>
      </w:r>
    </w:p>
    <w:p>
      <w:pPr>
        <w:pStyle w:val="Normal"/>
        <w:rPr>
          <w:rFonts w:ascii="Times New Roman" w:hAnsi="Times New Roman" w:cs="Times New Roman"/>
          <w:sz w:val="28"/>
          <w:szCs w:val="28"/>
        </w:rPr>
      </w:pPr>
      <w:r>
        <w:rPr>
          <w:rFonts w:cs="Times New Roman" w:ascii="Times New Roman" w:hAnsi="Times New Roman"/>
          <w:sz w:val="28"/>
          <w:szCs w:val="28"/>
        </w:rP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pPr>
        <w:pStyle w:val="ListParagraph"/>
        <w:tabs>
          <w:tab w:val="clear" w:pos="709"/>
          <w:tab w:val="left" w:pos="993" w:leader="none"/>
          <w:tab w:val="left" w:pos="1134" w:leader="none"/>
          <w:tab w:val="left" w:pos="184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53.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pPr>
        <w:pStyle w:val="ListParagraph"/>
        <w:tabs>
          <w:tab w:val="clear" w:pos="709"/>
          <w:tab w:val="left" w:pos="993" w:leader="none"/>
          <w:tab w:val="left" w:pos="1134" w:leader="none"/>
          <w:tab w:val="left" w:pos="184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54. У государственного (муниципального) органа, организации, осуществляющих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pPr>
        <w:pStyle w:val="ListParagraph"/>
        <w:tabs>
          <w:tab w:val="clear" w:pos="709"/>
          <w:tab w:val="left" w:pos="993" w:leader="none"/>
          <w:tab w:val="left" w:pos="1134" w:leader="none"/>
          <w:tab w:val="left" w:pos="184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55. 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(далее – НК РФ).</w:t>
      </w:r>
    </w:p>
    <w:p>
      <w:pPr>
        <w:pStyle w:val="ListParagraph"/>
        <w:tabs>
          <w:tab w:val="clear" w:pos="709"/>
          <w:tab w:val="left" w:pos="993" w:leader="none"/>
          <w:tab w:val="left" w:pos="1134" w:leader="none"/>
          <w:tab w:val="left" w:pos="184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56.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pPr>
        <w:pStyle w:val="ListParagraph"/>
        <w:tabs>
          <w:tab w:val="clear" w:pos="709"/>
          <w:tab w:val="left" w:pos="993" w:leader="none"/>
          <w:tab w:val="left" w:pos="1134" w:leader="none"/>
          <w:tab w:val="left" w:pos="1843" w:leader="none"/>
        </w:tabs>
        <w:spacing w:before="0" w:after="0"/>
        <w:ind w:left="0" w:firstLine="709"/>
        <w:contextualSpacing/>
        <w:rPr>
          <w:rFonts w:ascii="Times New Roman" w:hAnsi="Times New Roman" w:cs="Times New Roman"/>
          <w:sz w:val="28"/>
          <w:szCs w:val="28"/>
        </w:rPr>
      </w:pPr>
      <w:r>
        <w:rPr>
          <w:rFonts w:cs="Times New Roman" w:ascii="Times New Roman" w:hAnsi="Times New Roman"/>
          <w:sz w:val="28"/>
          <w:szCs w:val="28"/>
        </w:rPr>
        <w:t>57. 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pPr>
        <w:pStyle w:val="Normal"/>
        <w:widowControl w:val="false"/>
        <w:tabs>
          <w:tab w:val="clear" w:pos="709"/>
          <w:tab w:val="left" w:pos="993" w:leader="none"/>
          <w:tab w:val="left" w:pos="1134" w:leader="none"/>
          <w:tab w:val="left" w:pos="1843" w:leader="none"/>
        </w:tabs>
        <w:rPr>
          <w:rFonts w:ascii="Times New Roman" w:hAnsi="Times New Roman" w:cs="Times New Roman"/>
          <w:sz w:val="28"/>
          <w:szCs w:val="28"/>
        </w:rPr>
      </w:pPr>
      <w:r>
        <w:rPr/>
      </w:r>
    </w:p>
    <w:sectPr>
      <w:headerReference w:type="default" r:id="rId2"/>
      <w:footnotePr>
        <w:numFmt w:val="decimal"/>
      </w:footnotePr>
      <w:type w:val="nextPage"/>
      <w:pgSz w:w="11906" w:h="16838"/>
      <w:pgMar w:left="1134" w:right="1134" w:header="709"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Times New Roman">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1"/>
        <w:rPr>
          <w:rFonts w:ascii="Times New Roman" w:hAnsi="Times New Roman" w:cs="Times New Roman"/>
        </w:rPr>
      </w:pPr>
      <w:r>
        <w:rPr>
          <w:rStyle w:val="Style20"/>
        </w:rPr>
        <w:footnoteRef/>
      </w:r>
      <w:r>
        <w:rPr>
          <w:rFonts w:cs="Times New Roman" w:ascii="Times New Roman" w:hAnsi="Times New Roman"/>
        </w:rPr>
        <w:t xml:space="preserve"> </w:t>
      </w:r>
      <w:r>
        <w:rPr>
          <w:rFonts w:cs="Times New Roman" w:ascii="Times New Roman" w:hAnsi="Times New Roman"/>
        </w:rPr>
        <w:t>Часть вторая статья 575</w:t>
      </w:r>
    </w:p>
  </w:footnote>
  <w:footnote w:id="3">
    <w:p>
      <w:pPr>
        <w:pStyle w:val="Style31"/>
        <w:rPr>
          <w:rFonts w:ascii="Times New Roman" w:hAnsi="Times New Roman" w:cs="Times New Roman"/>
        </w:rPr>
      </w:pPr>
      <w:r>
        <w:rPr>
          <w:rStyle w:val="Style20"/>
        </w:rPr>
        <w:footnoteRef/>
      </w:r>
      <w:r>
        <w:rPr>
          <w:rFonts w:cs="Times New Roman" w:ascii="Times New Roman" w:hAnsi="Times New Roman"/>
        </w:rPr>
        <w:t xml:space="preserve"> </w:t>
      </w:r>
      <w:r>
        <w:rPr>
          <w:rFonts w:cs="Times New Roman" w:ascii="Times New Roman" w:hAnsi="Times New Roman"/>
        </w:rPr>
        <w:t>Пунктом 4 части 4 статьи 349</w:t>
      </w:r>
      <w:r>
        <w:rPr>
          <w:rFonts w:cs="Times New Roman" w:ascii="Times New Roman" w:hAnsi="Times New Roman"/>
          <w:vertAlign w:val="superscript"/>
        </w:rPr>
        <w:t>1</w:t>
      </w:r>
      <w:r>
        <w:rPr>
          <w:rFonts w:cs="Times New Roman" w:ascii="Times New Roman" w:hAnsi="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4">
    <w:p>
      <w:pPr>
        <w:pStyle w:val="Style31"/>
        <w:rPr>
          <w:rFonts w:ascii="Times New Roman" w:hAnsi="Times New Roman" w:cs="Times New Roman"/>
        </w:rPr>
      </w:pPr>
      <w:r>
        <w:rPr>
          <w:rStyle w:val="Style20"/>
        </w:rPr>
        <w:footnoteRef/>
      </w:r>
      <w:r>
        <w:rPr>
          <w:rFonts w:cs="Times New Roman" w:ascii="Times New Roman" w:hAnsi="Times New Roman"/>
        </w:rPr>
        <w:t xml:space="preserve"> </w:t>
      </w:r>
      <w:r>
        <w:rPr>
          <w:rFonts w:cs="Times New Roman" w:ascii="Times New Roman" w:hAnsi="Times New Roman"/>
        </w:rPr>
        <w:t>Пункт 5 Типового положения</w:t>
      </w:r>
    </w:p>
  </w:footnote>
  <w:footnote w:id="5">
    <w:p>
      <w:pPr>
        <w:pStyle w:val="Style31"/>
        <w:rPr>
          <w:rFonts w:ascii="Times New Roman" w:hAnsi="Times New Roman" w:cs="Times New Roman"/>
        </w:rPr>
      </w:pPr>
      <w:r>
        <w:rPr>
          <w:rStyle w:val="Style20"/>
        </w:rPr>
        <w:footnoteRef/>
      </w:r>
      <w:r>
        <w:rPr>
          <w:rFonts w:cs="Times New Roman" w:ascii="Times New Roman" w:hAnsi="Times New Roman"/>
        </w:rPr>
        <w:t xml:space="preserve"> </w:t>
      </w:r>
      <w:r>
        <w:rPr>
          <w:rFonts w:cs="Times New Roman" w:ascii="Times New Roman" w:hAnsi="Times New Roman"/>
        </w:rPr>
        <w:t>Пункты 4, 6 Типового положения</w:t>
      </w:r>
    </w:p>
  </w:footnote>
  <w:footnote w:id="6">
    <w:p>
      <w:pPr>
        <w:pStyle w:val="Style31"/>
        <w:rPr/>
      </w:pPr>
      <w:r>
        <w:rPr>
          <w:rStyle w:val="Style20"/>
        </w:rPr>
        <w:footnoteRef/>
      </w:r>
      <w:r>
        <w:rPr/>
        <w:t xml:space="preserve"> </w:t>
      </w:r>
      <w:r>
        <w:rPr>
          <w:rFonts w:cs="Times New Roman" w:ascii="Times New Roman" w:hAnsi="Times New Roman"/>
        </w:rPr>
        <w:t>Пункт 5 Типового положения</w:t>
      </w:r>
    </w:p>
  </w:footnote>
  <w:footnote w:id="7">
    <w:p>
      <w:pPr>
        <w:pStyle w:val="Style31"/>
        <w:rPr/>
      </w:pPr>
      <w:r>
        <w:rPr>
          <w:rStyle w:val="Style20"/>
        </w:rPr>
        <w:footnoteRef/>
      </w:r>
      <w:r>
        <w:rPr/>
        <w:t xml:space="preserve"> </w:t>
      </w:r>
      <w:r>
        <w:rPr>
          <w:rFonts w:cs="Times New Roman" w:ascii="Times New Roman" w:hAnsi="Times New Roman"/>
        </w:rPr>
        <w:t>Пункт 7 Типового положения</w:t>
      </w:r>
    </w:p>
  </w:footnote>
  <w:footnote w:id="8">
    <w:p>
      <w:pPr>
        <w:pStyle w:val="Style31"/>
        <w:rPr/>
      </w:pPr>
      <w:r>
        <w:rPr>
          <w:rStyle w:val="Style20"/>
        </w:rPr>
        <w:footnoteRef/>
      </w:r>
      <w:r>
        <w:rPr/>
        <w:t xml:space="preserve"> </w:t>
      </w:r>
      <w:r>
        <w:rPr>
          <w:rFonts w:cs="Times New Roman" w:ascii="Times New Roman" w:hAnsi="Times New Roman"/>
        </w:rPr>
        <w:t>Пункт 6 Типового положения</w:t>
      </w:r>
    </w:p>
  </w:footnote>
  <w:footnote w:id="9">
    <w:p>
      <w:pPr>
        <w:pStyle w:val="Style31"/>
        <w:rPr/>
      </w:pPr>
      <w:r>
        <w:rPr>
          <w:rStyle w:val="Style20"/>
        </w:rPr>
        <w:footnoteRef/>
      </w:r>
      <w:r>
        <w:rPr/>
        <w:t xml:space="preserve"> </w:t>
      </w:r>
      <w:r>
        <w:rPr>
          <w:rFonts w:cs="Times New Roman" w:ascii="Times New Roman" w:hAnsi="Times New Roman"/>
        </w:rPr>
        <w:t>Пункт 7 Типового положения</w:t>
      </w:r>
    </w:p>
  </w:footnote>
  <w:footnote w:id="10">
    <w:p>
      <w:pPr>
        <w:pStyle w:val="Style31"/>
        <w:rPr>
          <w:rFonts w:ascii="Times New Roman" w:hAnsi="Times New Roman" w:cs="Times New Roman"/>
        </w:rPr>
      </w:pPr>
      <w:r>
        <w:rPr>
          <w:rStyle w:val="Style20"/>
        </w:rPr>
        <w:footnoteRef/>
      </w:r>
      <w:r>
        <w:rPr>
          <w:rFonts w:cs="Times New Roman" w:ascii="Times New Roman" w:hAnsi="Times New Roman"/>
        </w:rPr>
        <w:t xml:space="preserve"> </w:t>
      </w:r>
      <w:r>
        <w:rPr>
          <w:rFonts w:cs="Times New Roman" w:ascii="Times New Roman" w:hAnsi="Times New Roman"/>
        </w:rPr>
        <w:t>Пункт 8 Типового положения</w:t>
      </w:r>
    </w:p>
  </w:footnote>
  <w:footnote w:id="11">
    <w:p>
      <w:pPr>
        <w:pStyle w:val="Style31"/>
        <w:rPr/>
      </w:pPr>
      <w:r>
        <w:rPr>
          <w:rStyle w:val="Style20"/>
        </w:rPr>
        <w:footnoteRef/>
      </w:r>
      <w:r>
        <w:rPr/>
        <w:t xml:space="preserve"> </w:t>
      </w:r>
      <w:r>
        <w:rPr>
          <w:rFonts w:cs="Times New Roman" w:ascii="Times New Roman" w:hAnsi="Times New Roman"/>
        </w:rPr>
        <w:t>Пункт 7 Типового положения</w:t>
      </w:r>
    </w:p>
  </w:footnote>
  <w:footnote w:id="12">
    <w:p>
      <w:pPr>
        <w:pStyle w:val="Style31"/>
        <w:rPr>
          <w:rFonts w:ascii="Times New Roman" w:hAnsi="Times New Roman" w:cs="Times New Roman"/>
        </w:rPr>
      </w:pPr>
      <w:r>
        <w:rPr>
          <w:rStyle w:val="Style20"/>
        </w:rPr>
        <w:footnoteRef/>
      </w:r>
      <w:r>
        <w:rPr>
          <w:rFonts w:cs="Times New Roman" w:ascii="Times New Roman" w:hAnsi="Times New Roman"/>
        </w:rPr>
        <w:t xml:space="preserve"> </w:t>
      </w:r>
      <w:r>
        <w:rPr>
          <w:rFonts w:cs="Times New Roman" w:ascii="Times New Roman" w:hAnsi="Times New Roman"/>
        </w:rPr>
        <w:t>Пункт 2 распоряжение Президента Российской Федерации № 159-рп</w:t>
      </w:r>
    </w:p>
  </w:footnote>
  <w:footnote w:id="13">
    <w:p>
      <w:pPr>
        <w:pStyle w:val="Style31"/>
        <w:rPr/>
      </w:pPr>
      <w:r>
        <w:rPr>
          <w:rStyle w:val="Style20"/>
        </w:rPr>
        <w:footnoteRef/>
      </w:r>
      <w:r>
        <w:rPr/>
        <w:t xml:space="preserve"> </w:t>
      </w:r>
      <w:r>
        <w:rPr>
          <w:rFonts w:cs="Times New Roman" w:ascii="Times New Roman" w:hAnsi="Times New Roman"/>
        </w:rPr>
        <w:t>Пункт 9 Типового положения</w:t>
      </w:r>
    </w:p>
  </w:footnote>
  <w:footnote w:id="14">
    <w:p>
      <w:pPr>
        <w:pStyle w:val="Style31"/>
        <w:rPr/>
      </w:pPr>
      <w:r>
        <w:rPr>
          <w:rStyle w:val="Style20"/>
        </w:rPr>
        <w:footnoteRef/>
      </w:r>
      <w:r>
        <w:rPr/>
        <w:t xml:space="preserve"> </w:t>
      </w:r>
      <w:r>
        <w:rPr>
          <w:rFonts w:cs="Times New Roman" w:ascii="Times New Roman" w:hAnsi="Times New Roman"/>
        </w:rPr>
        <w:t>Пункт 12 Типового положения</w:t>
      </w:r>
    </w:p>
  </w:footnote>
  <w:footnote w:id="15">
    <w:p>
      <w:pPr>
        <w:pStyle w:val="Style31"/>
        <w:rPr/>
      </w:pPr>
      <w:r>
        <w:rPr>
          <w:rStyle w:val="Style20"/>
        </w:rPr>
        <w:footnoteRef/>
      </w:r>
      <w:r>
        <w:rPr/>
        <w:t xml:space="preserve"> </w:t>
      </w:r>
      <w:r>
        <w:rPr>
          <w:rFonts w:cs="Times New Roman" w:ascii="Times New Roman" w:hAnsi="Times New Roman"/>
        </w:rPr>
        <w:t>Пункт 16 Типового положения</w:t>
      </w:r>
    </w:p>
  </w:footnote>
  <w:footnote w:id="16">
    <w:p>
      <w:pPr>
        <w:pStyle w:val="Style31"/>
        <w:rPr/>
      </w:pPr>
      <w:r>
        <w:rPr>
          <w:rStyle w:val="Style20"/>
        </w:rPr>
        <w:footnoteRef/>
      </w:r>
      <w:r>
        <w:rPr/>
        <w:t xml:space="preserve"> </w:t>
      </w:r>
      <w:r>
        <w:rPr>
          <w:rFonts w:cs="Times New Roman" w:ascii="Times New Roman" w:hAnsi="Times New Roman"/>
        </w:rPr>
        <w:t>Пункт 13 Типового положения</w:t>
      </w:r>
    </w:p>
  </w:footnote>
  <w:footnote w:id="17">
    <w:p>
      <w:pPr>
        <w:pStyle w:val="Style31"/>
        <w:rPr/>
      </w:pPr>
      <w:r>
        <w:rPr>
          <w:rStyle w:val="Style20"/>
        </w:rPr>
        <w:footnoteRef/>
      </w:r>
      <w:r>
        <w:rPr/>
        <w:t xml:space="preserve"> </w:t>
      </w:r>
      <w:r>
        <w:rPr>
          <w:rFonts w:cs="Times New Roman" w:ascii="Times New Roman" w:hAnsi="Times New Roman"/>
        </w:rPr>
        <w:t>Пункт 13(1) Типового положения</w:t>
      </w:r>
    </w:p>
  </w:footnote>
  <w:footnote w:id="18">
    <w:p>
      <w:pPr>
        <w:pStyle w:val="Style31"/>
        <w:rPr/>
      </w:pPr>
      <w:r>
        <w:rPr>
          <w:rStyle w:val="Style20"/>
        </w:rPr>
        <w:footnoteRef/>
      </w:r>
      <w:r>
        <w:rPr/>
        <w:t xml:space="preserve"> </w:t>
      </w:r>
      <w:r>
        <w:rPr>
          <w:rFonts w:cs="Times New Roman" w:ascii="Times New Roman" w:hAnsi="Times New Roman"/>
        </w:rPr>
        <w:t>Пункт 14 Типового положения</w:t>
      </w:r>
    </w:p>
  </w:footnote>
  <w:footnote w:id="19">
    <w:p>
      <w:pPr>
        <w:pStyle w:val="Style31"/>
        <w:rPr/>
      </w:pPr>
      <w:r>
        <w:rPr>
          <w:rStyle w:val="Style20"/>
        </w:rPr>
        <w:footnoteRef/>
      </w:r>
      <w:r>
        <w:rPr/>
        <w:t xml:space="preserve"> </w:t>
      </w:r>
      <w:r>
        <w:rPr>
          <w:rFonts w:cs="Times New Roman" w:ascii="Times New Roman" w:hAnsi="Times New Roman"/>
        </w:rPr>
        <w:t>Пункты 15, 17  Типового положения</w:t>
      </w:r>
    </w:p>
  </w:footnote>
  <w:footnote w:id="20">
    <w:p>
      <w:pPr>
        <w:pStyle w:val="Style31"/>
        <w:rPr/>
      </w:pPr>
      <w:r>
        <w:rPr>
          <w:rStyle w:val="Style20"/>
        </w:rPr>
        <w:footnoteRef/>
      </w:r>
      <w:r>
        <w:rPr/>
        <w:t xml:space="preserve"> </w:t>
      </w:r>
      <w:r>
        <w:rPr>
          <w:rFonts w:cs="Times New Roman" w:ascii="Times New Roman" w:hAnsi="Times New Roman"/>
        </w:rPr>
        <w:t>Пункт 18 Типового положения</w:t>
      </w:r>
    </w:p>
  </w:footnote>
  <w:footnote w:id="21">
    <w:p>
      <w:pPr>
        <w:pStyle w:val="Style31"/>
        <w:rPr/>
      </w:pPr>
      <w:r>
        <w:rPr>
          <w:rStyle w:val="Style20"/>
        </w:rPr>
        <w:footnoteRef/>
      </w:r>
      <w:r>
        <w:rPr/>
        <w:t xml:space="preserve"> </w:t>
      </w:r>
      <w:r>
        <w:rPr>
          <w:rFonts w:cs="Times New Roman" w:ascii="Times New Roman" w:hAnsi="Times New Roman"/>
        </w:rPr>
        <w:t>Пункт 19 Положения об учете</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78984600"/>
    </w:sdtPr>
    <w:sdtContent>
      <w:p>
        <w:pPr>
          <w:pStyle w:val="Style29"/>
          <w:jc w:val="center"/>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14</w:t>
        </w:r>
        <w:r>
          <w:rPr>
            <w:sz w:val="28"/>
            <w:szCs w:val="28"/>
            <w:rFonts w:cs="Times New Roman" w:ascii="Times New Roman" w:hAnsi="Times New Roman"/>
          </w:rPr>
          <w:fldChar w:fldCharType="end"/>
        </w:r>
      </w:p>
    </w:sdtContent>
  </w:sdt>
</w:hdr>
</file>

<file path=word/settings.xml><?xml version="1.0" encoding="utf-8"?>
<w:settings xmlns:w="http://schemas.openxmlformats.org/wordprocessingml/2006/main">
  <w:zoom w:percent="120"/>
  <w:defaultTabStop w:val="709"/>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4eb2"/>
    <w:pPr>
      <w:widowControl/>
      <w:suppressAutoHyphens w:val="true"/>
      <w:bidi w:val="0"/>
      <w:spacing w:before="0" w:after="0"/>
      <w:ind w:firstLine="709"/>
      <w:jc w:val="both"/>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020bf3"/>
    <w:rPr/>
  </w:style>
  <w:style w:type="character" w:styleId="Style15" w:customStyle="1">
    <w:name w:val="Нижний колонтитул Знак"/>
    <w:basedOn w:val="DefaultParagraphFont"/>
    <w:link w:val="a6"/>
    <w:uiPriority w:val="99"/>
    <w:semiHidden/>
    <w:qFormat/>
    <w:rsid w:val="00020bf3"/>
    <w:rPr/>
  </w:style>
  <w:style w:type="character" w:styleId="Style16" w:customStyle="1">
    <w:name w:val="Схема документа Знак"/>
    <w:basedOn w:val="DefaultParagraphFont"/>
    <w:link w:val="a8"/>
    <w:uiPriority w:val="99"/>
    <w:semiHidden/>
    <w:qFormat/>
    <w:rsid w:val="004f340b"/>
    <w:rPr>
      <w:rFonts w:ascii="Tahoma" w:hAnsi="Tahoma" w:cs="Tahoma"/>
      <w:sz w:val="16"/>
      <w:szCs w:val="16"/>
    </w:rPr>
  </w:style>
  <w:style w:type="character" w:styleId="Style17" w:customStyle="1">
    <w:name w:val="Текст выноски Знак"/>
    <w:basedOn w:val="DefaultParagraphFont"/>
    <w:link w:val="ab"/>
    <w:uiPriority w:val="99"/>
    <w:semiHidden/>
    <w:qFormat/>
    <w:rsid w:val="00bb096b"/>
    <w:rPr>
      <w:rFonts w:ascii="Tahoma" w:hAnsi="Tahoma" w:cs="Tahoma"/>
      <w:sz w:val="16"/>
      <w:szCs w:val="16"/>
    </w:rPr>
  </w:style>
  <w:style w:type="character" w:styleId="Style18" w:customStyle="1">
    <w:name w:val="Текст сноски Знак"/>
    <w:basedOn w:val="DefaultParagraphFont"/>
    <w:link w:val="ad"/>
    <w:uiPriority w:val="99"/>
    <w:semiHidden/>
    <w:qFormat/>
    <w:rsid w:val="00a93a5a"/>
    <w:rPr>
      <w:sz w:val="20"/>
      <w:szCs w:val="20"/>
    </w:rPr>
  </w:style>
  <w:style w:type="character" w:styleId="Style19">
    <w:name w:val="Привязка сноски"/>
    <w:rPr>
      <w:vertAlign w:val="superscript"/>
    </w:rPr>
  </w:style>
  <w:style w:type="character" w:styleId="FootnoteCharacters">
    <w:name w:val="Footnote Characters"/>
    <w:basedOn w:val="DefaultParagraphFont"/>
    <w:uiPriority w:val="99"/>
    <w:semiHidden/>
    <w:unhideWhenUsed/>
    <w:qFormat/>
    <w:rsid w:val="00a93a5a"/>
    <w:rPr>
      <w:vertAlign w:val="superscript"/>
    </w:rPr>
  </w:style>
  <w:style w:type="character" w:styleId="Style20">
    <w:name w:val="Символ сноски"/>
    <w:qForma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ConsPlusNonformat" w:customStyle="1">
    <w:name w:val="ConsPlusNonformat"/>
    <w:qFormat/>
    <w:rsid w:val="008621b3"/>
    <w:pPr>
      <w:widowControl w:val="false"/>
      <w:suppressAutoHyphens w:val="true"/>
      <w:bidi w:val="0"/>
      <w:spacing w:before="0" w:after="0"/>
      <w:ind w:firstLine="709"/>
      <w:jc w:val="both"/>
    </w:pPr>
    <w:rPr>
      <w:rFonts w:ascii="Courier New" w:hAnsi="Courier New" w:eastAsia="Times New Roman" w:cs="Courier New"/>
      <w:color w:val="auto"/>
      <w:kern w:val="0"/>
      <w:sz w:val="20"/>
      <w:szCs w:val="20"/>
      <w:lang w:val="ru-RU" w:eastAsia="ru-RU" w:bidi="ar-SA"/>
    </w:rPr>
  </w:style>
  <w:style w:type="paragraph" w:styleId="ConsPlusNormal" w:customStyle="1">
    <w:name w:val="ConsPlusNormal"/>
    <w:qFormat/>
    <w:rsid w:val="008621b3"/>
    <w:pPr>
      <w:widowControl w:val="false"/>
      <w:suppressAutoHyphens w:val="true"/>
      <w:bidi w:val="0"/>
      <w:spacing w:before="0" w:after="0"/>
      <w:ind w:firstLine="720"/>
      <w:jc w:val="both"/>
    </w:pPr>
    <w:rPr>
      <w:rFonts w:ascii="Arial" w:hAnsi="Arial" w:eastAsia="Times New Roman" w:cs="Arial"/>
      <w:color w:val="auto"/>
      <w:kern w:val="0"/>
      <w:sz w:val="20"/>
      <w:szCs w:val="20"/>
      <w:lang w:val="ru-RU" w:eastAsia="ru-RU" w:bidi="ar-SA"/>
    </w:rPr>
  </w:style>
  <w:style w:type="paragraph" w:styleId="Style28">
    <w:name w:val="Верхний и нижний колонтитулы"/>
    <w:basedOn w:val="Normal"/>
    <w:qFormat/>
    <w:pPr/>
    <w:rPr/>
  </w:style>
  <w:style w:type="paragraph" w:styleId="Style29">
    <w:name w:val="Header"/>
    <w:basedOn w:val="Normal"/>
    <w:link w:val="a5"/>
    <w:uiPriority w:val="99"/>
    <w:unhideWhenUsed/>
    <w:rsid w:val="00020bf3"/>
    <w:pPr>
      <w:tabs>
        <w:tab w:val="clear" w:pos="709"/>
        <w:tab w:val="center" w:pos="4677" w:leader="none"/>
        <w:tab w:val="right" w:pos="9355" w:leader="none"/>
      </w:tabs>
    </w:pPr>
    <w:rPr/>
  </w:style>
  <w:style w:type="paragraph" w:styleId="Style30">
    <w:name w:val="Footer"/>
    <w:basedOn w:val="Normal"/>
    <w:link w:val="a7"/>
    <w:uiPriority w:val="99"/>
    <w:semiHidden/>
    <w:unhideWhenUsed/>
    <w:rsid w:val="00020bf3"/>
    <w:pPr>
      <w:tabs>
        <w:tab w:val="clear" w:pos="709"/>
        <w:tab w:val="center" w:pos="4677" w:leader="none"/>
        <w:tab w:val="right" w:pos="9355" w:leader="none"/>
      </w:tabs>
    </w:pPr>
    <w:rPr/>
  </w:style>
  <w:style w:type="paragraph" w:styleId="DocumentMap">
    <w:name w:val="Document Map"/>
    <w:basedOn w:val="Normal"/>
    <w:link w:val="a9"/>
    <w:uiPriority w:val="99"/>
    <w:semiHidden/>
    <w:unhideWhenUsed/>
    <w:qFormat/>
    <w:rsid w:val="004f340b"/>
    <w:pPr/>
    <w:rPr>
      <w:rFonts w:ascii="Tahoma" w:hAnsi="Tahoma" w:cs="Tahoma"/>
      <w:sz w:val="16"/>
      <w:szCs w:val="16"/>
    </w:rPr>
  </w:style>
  <w:style w:type="paragraph" w:styleId="Western" w:customStyle="1">
    <w:name w:val="western"/>
    <w:basedOn w:val="Normal"/>
    <w:qFormat/>
    <w:rsid w:val="00746a1f"/>
    <w:pPr>
      <w:spacing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9331cb"/>
    <w:pPr>
      <w:spacing w:before="0" w:after="0"/>
      <w:ind w:left="720" w:firstLine="709"/>
      <w:contextualSpacing/>
    </w:pPr>
    <w:rPr/>
  </w:style>
  <w:style w:type="paragraph" w:styleId="Default" w:customStyle="1">
    <w:name w:val="Default"/>
    <w:qFormat/>
    <w:rsid w:val="00152e11"/>
    <w:pPr>
      <w:widowControl/>
      <w:suppressAutoHyphens w:val="true"/>
      <w:bidi w:val="0"/>
      <w:spacing w:before="0" w:after="0"/>
      <w:ind w:hanging="0"/>
      <w:jc w:val="left"/>
    </w:pPr>
    <w:rPr>
      <w:rFonts w:ascii="Times New Roman" w:hAnsi="Times New Roman" w:eastAsia="Calibri" w:cs="Times New Roman" w:eastAsiaTheme="minorHAnsi"/>
      <w:color w:val="000000"/>
      <w:kern w:val="0"/>
      <w:sz w:val="24"/>
      <w:szCs w:val="24"/>
      <w:lang w:val="ru-RU" w:eastAsia="en-US" w:bidi="ar-SA"/>
    </w:rPr>
  </w:style>
  <w:style w:type="paragraph" w:styleId="BalloonText">
    <w:name w:val="Balloon Text"/>
    <w:basedOn w:val="Normal"/>
    <w:link w:val="ac"/>
    <w:uiPriority w:val="99"/>
    <w:semiHidden/>
    <w:unhideWhenUsed/>
    <w:qFormat/>
    <w:rsid w:val="00bb096b"/>
    <w:pPr/>
    <w:rPr>
      <w:rFonts w:ascii="Tahoma" w:hAnsi="Tahoma" w:cs="Tahoma"/>
      <w:sz w:val="16"/>
      <w:szCs w:val="16"/>
    </w:rPr>
  </w:style>
  <w:style w:type="paragraph" w:styleId="Style31">
    <w:name w:val="Footnote Text"/>
    <w:basedOn w:val="Normal"/>
    <w:link w:val="ae"/>
    <w:uiPriority w:val="99"/>
    <w:semiHidden/>
    <w:unhideWhenUsed/>
    <w:rsid w:val="00a93a5a"/>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rsid w:val="00e14a54"/>
    <w:pPr>
      <w:spacing w:line="360" w:lineRule="atLeast"/>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7D0A-A8FD-469E-9573-147563A9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LibreOffice/7.0.3.1$Windows_X86_64 LibreOffice_project/d7547858d014d4cf69878db179d326fc3483e082</Application>
  <Pages>14</Pages>
  <Words>4128</Words>
  <Characters>30685</Characters>
  <CharactersWithSpaces>34740</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2020-02-12T16:26:00Z</dcterms:created>
  <dc:creator>Казьмин Артем Сергеевич</dc:creator>
  <dc:description/>
  <dc:language>ru-RU</dc:language>
  <cp:lastModifiedBy/>
  <cp:lastPrinted>2020-02-13T08:41:00Z</cp:lastPrinted>
  <dcterms:modified xsi:type="dcterms:W3CDTF">2021-11-26T13:25:40Z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