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uppressAutoHyphens w:val="false"/>
        <w:ind w:firstLine="709"/>
        <w:jc w:val="center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t>ЗАКЛЮЧЕНИЕ</w:t>
      </w:r>
    </w:p>
    <w:p>
      <w:pPr>
        <w:pStyle w:val="Style17"/>
        <w:suppressAutoHyphens w:val="false"/>
        <w:ind w:firstLine="709"/>
        <w:jc w:val="center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t>по результатам проведения экспертизы</w:t>
      </w:r>
    </w:p>
    <w:p>
      <w:pPr>
        <w:pStyle w:val="Style17"/>
        <w:suppressAutoHyphens w:val="false"/>
        <w:ind w:firstLine="709"/>
        <w:jc w:val="center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t>муниципального нормативного правового акта</w:t>
      </w:r>
    </w:p>
    <w:p>
      <w:pPr>
        <w:pStyle w:val="Style17"/>
        <w:suppressAutoHyphens w:val="false"/>
        <w:ind w:firstLine="709"/>
        <w:jc w:val="center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t>Грязовецкого муниципального района,</w:t>
      </w:r>
    </w:p>
    <w:p>
      <w:pPr>
        <w:pStyle w:val="Style17"/>
        <w:suppressAutoHyphens w:val="false"/>
        <w:ind w:firstLine="709"/>
        <w:jc w:val="center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t>затрагивающего вопросы осуществления</w:t>
      </w:r>
    </w:p>
    <w:p>
      <w:pPr>
        <w:pStyle w:val="Style17"/>
        <w:suppressAutoHyphens w:val="false"/>
        <w:ind w:firstLine="709"/>
        <w:jc w:val="center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t>предпринимательской и инвестиционной</w:t>
      </w:r>
    </w:p>
    <w:p>
      <w:pPr>
        <w:pStyle w:val="Style17"/>
        <w:suppressAutoHyphens w:val="false"/>
        <w:ind w:firstLine="709"/>
        <w:jc w:val="center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t>деятельности</w:t>
      </w:r>
    </w:p>
    <w:p>
      <w:pPr>
        <w:pStyle w:val="ConsPlusNonformat"/>
        <w:jc w:val="both"/>
        <w:rPr/>
      </w:pPr>
      <w:r>
        <w:rPr/>
      </w:r>
    </w:p>
    <w:p>
      <w:pPr>
        <w:pStyle w:val="Style17"/>
        <w:suppressAutoHyphens w:val="false"/>
        <w:ind w:firstLine="709"/>
        <w:jc w:val="both"/>
        <w:rPr/>
      </w:pPr>
      <w:r>
        <w:rPr/>
        <w:t xml:space="preserve">    </w:t>
      </w:r>
      <w:r>
        <w:rPr>
          <w:rFonts w:ascii="Bookman Old Style" w:hAnsi="Bookman Old Style"/>
          <w:w w:val="100"/>
          <w:sz w:val="24"/>
        </w:rPr>
        <w:t>Управление социально-экономического развития района администрации района (далее   -   Управление)  в  соответствии  с  Порядком  проведения  оценки регулирующего воздействия проектов муниципальных нормативных правовых актов, устанавливающие новые или изменяющие ранее предусмотренные муниципальными нормативными  правовыми актами обязанности для субъектов предпринимательской и инвестиционной деятельности и   экспертизы  муниципальных  нормативных  правовых  актов Грязовецкого муниципального района,   затрагивающих   вопросы   осуществления предпринимательской     и     инвестиционной    деятельности,    рассмотрело приказ Управления по имущественным и земельным отношениям Грязовецкого муниципального района Вологодской области от 08.07.2016 №58 «О внесении изменений в приказ начальника Управления по имущественным и земельным отношениям Грязовецкого муниципального района от 28 декабря 2011 года №39 «Об  утверждении административного регламента по предоставлению муниципальной услуги «Выдача разрешений на установку рекламных конструкций , аннулирование таких разрешений на территории Грязовецкого муниципального района Вологодской области»  (далее - акт) и сообщает следующее.</w:t>
      </w:r>
    </w:p>
    <w:p>
      <w:pPr>
        <w:pStyle w:val="Style17"/>
        <w:suppressAutoHyphens w:val="false"/>
        <w:ind w:firstLine="708"/>
        <w:jc w:val="both"/>
        <w:rPr>
          <w:rFonts w:ascii="Bookman Old Style" w:hAnsi="Bookman Old Style"/>
          <w:w w:val="100"/>
          <w:sz w:val="20"/>
          <w:szCs w:val="20"/>
        </w:rPr>
      </w:pPr>
      <w:r>
        <w:rPr>
          <w:rFonts w:ascii="Bookman Old Style" w:hAnsi="Bookman Old Style"/>
          <w:w w:val="100"/>
          <w:sz w:val="24"/>
        </w:rPr>
        <w:t>Органом  местного самоуправления Грязовецкого муниципального района, осуществляющим функции в сфере регулирования акта, является Управление по имущественным и  земельным отношениям Грязовецкого муниципального района.</w:t>
      </w:r>
    </w:p>
    <w:p>
      <w:pPr>
        <w:pStyle w:val="Style17"/>
        <w:suppressAutoHyphens w:val="false"/>
        <w:ind w:firstLine="567"/>
        <w:jc w:val="both"/>
        <w:rPr/>
      </w:pPr>
      <w:r>
        <w:rPr>
          <w:rFonts w:ascii="Bookman Old Style" w:hAnsi="Bookman Old Style"/>
          <w:w w:val="100"/>
          <w:sz w:val="24"/>
        </w:rPr>
        <w:t xml:space="preserve">Управлением проведены публичные консультации в сроки с 20 сентября 2017 года по 23 октября 2017 года. </w:t>
      </w:r>
      <w:r>
        <w:rPr>
          <w:rFonts w:ascii="Bookman Old Style" w:hAnsi="Bookman Old Style"/>
          <w:w w:val="100"/>
          <w:sz w:val="24"/>
          <w:szCs w:val="28"/>
        </w:rPr>
        <w:t>Соответствующее уведомление и акт размещены на официальном сайте администрации Грязовецкого муниципального района в сети «Интернет» 19 сентября 2017 года. Также  уведомление и акт</w:t>
      </w:r>
      <w:r>
        <w:rPr>
          <w:rFonts w:eastAsia="Calibri" w:ascii="Bookman Old Style" w:hAnsi="Bookman Old Style"/>
          <w:w w:val="100"/>
          <w:sz w:val="24"/>
          <w:szCs w:val="28"/>
        </w:rPr>
        <w:t xml:space="preserve"> направлены в адрес организаций и индивидуальных предпринимателей: Грязовецкое ЛПУ МГ ФЛ ООО «Газпром трангаз Ухта» ПАО «Газпром»,  ОАО «Северное молоко», ООО «Труд», ИП Калмыкова Т.А., ИП Шабалина Н.В</w:t>
      </w:r>
      <w:r>
        <w:rPr>
          <w:rFonts w:ascii="Bookman Old Style" w:hAnsi="Bookman Old Style"/>
          <w:w w:val="100"/>
          <w:sz w:val="24"/>
          <w:szCs w:val="28"/>
        </w:rPr>
        <w:t>.</w:t>
      </w:r>
    </w:p>
    <w:p>
      <w:pPr>
        <w:pStyle w:val="Normal"/>
        <w:spacing w:lineRule="auto" w:line="240" w:before="0" w:after="0"/>
        <w:ind w:left="-142" w:right="-141" w:firstLine="709"/>
        <w:jc w:val="both"/>
        <w:rPr>
          <w:rFonts w:ascii="Bookman Old Style" w:hAnsi="Bookman Old Style" w:cs="Times New Roman"/>
          <w:sz w:val="24"/>
          <w:szCs w:val="28"/>
        </w:rPr>
      </w:pPr>
      <w:r>
        <w:rPr>
          <w:rFonts w:eastAsia="Calibri" w:cs="Times New Roman" w:ascii="Bookman Old Style" w:hAnsi="Bookman Old Style"/>
          <w:sz w:val="24"/>
          <w:szCs w:val="28"/>
        </w:rPr>
        <w:t xml:space="preserve"> </w:t>
      </w:r>
      <w:r>
        <w:rPr>
          <w:rFonts w:eastAsia="Calibri" w:cs="Times New Roman" w:ascii="Bookman Old Style" w:hAnsi="Bookman Old Style"/>
          <w:sz w:val="24"/>
          <w:szCs w:val="28"/>
        </w:rPr>
        <w:t>Во время проведения публичных консультаций не поступило ни одного предложения (замечания)</w:t>
      </w:r>
      <w:r>
        <w:rPr>
          <w:rFonts w:cs="Times New Roman" w:ascii="Bookman Old Style" w:hAnsi="Bookman Old Style"/>
          <w:sz w:val="24"/>
          <w:szCs w:val="28"/>
        </w:rPr>
        <w:t>.</w:t>
      </w:r>
    </w:p>
    <w:p>
      <w:pPr>
        <w:pStyle w:val="Style17"/>
        <w:suppressAutoHyphens w:val="false"/>
        <w:ind w:firstLine="567"/>
        <w:jc w:val="both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t>В  ходе проведения экспертизы акта Управлением получена и рассмотрена информация для подготовки заключения по результатам экспертизы акта от Управления по имущественным и земельным отношениям.</w:t>
      </w:r>
    </w:p>
    <w:p>
      <w:pPr>
        <w:pStyle w:val="Style17"/>
        <w:suppressAutoHyphens w:val="false"/>
        <w:ind w:firstLine="567"/>
        <w:jc w:val="both"/>
        <w:rPr/>
      </w:pPr>
      <w:r>
        <w:rPr>
          <w:rFonts w:ascii="Bookman Old Style" w:hAnsi="Bookman Old Style"/>
          <w:w w:val="100"/>
          <w:sz w:val="24"/>
          <w:szCs w:val="20"/>
        </w:rPr>
        <w:t>Административный регламент предоставления муниципальной услуги по выдаче разрешений на установку и эксплуатацию рекламных конструкций, аннулированию таких разрешений устанавливает порядок и стандарт предоставления муниципальной услуги.</w:t>
      </w:r>
    </w:p>
    <w:p>
      <w:pPr>
        <w:pStyle w:val="Style17"/>
        <w:suppressAutoHyphens w:val="false"/>
        <w:ind w:firstLine="567"/>
        <w:jc w:val="both"/>
        <w:rPr/>
      </w:pPr>
      <w:r>
        <w:rPr>
          <w:rFonts w:ascii="Bookman Old Style" w:hAnsi="Bookman Old Style"/>
          <w:w w:val="100"/>
          <w:sz w:val="24"/>
          <w:szCs w:val="20"/>
        </w:rPr>
        <w:t>Муниципальная услуга включает:</w:t>
      </w:r>
    </w:p>
    <w:p>
      <w:pPr>
        <w:pStyle w:val="Style17"/>
        <w:suppressAutoHyphens w:val="false"/>
        <w:ind w:firstLine="567"/>
        <w:jc w:val="both"/>
        <w:rPr/>
      </w:pPr>
      <w:r>
        <w:rPr>
          <w:rFonts w:ascii="Bookman Old Style" w:hAnsi="Bookman Old Style"/>
          <w:w w:val="100"/>
          <w:sz w:val="24"/>
          <w:szCs w:val="20"/>
        </w:rPr>
        <w:t>- выдачу разрешений на установку и эксплуатацию рекламных конструкций;</w:t>
      </w:r>
    </w:p>
    <w:p>
      <w:pPr>
        <w:pStyle w:val="Style17"/>
        <w:suppressAutoHyphens w:val="false"/>
        <w:ind w:firstLine="567"/>
        <w:jc w:val="both"/>
        <w:rPr/>
      </w:pPr>
      <w:r>
        <w:rPr>
          <w:rFonts w:ascii="Bookman Old Style" w:hAnsi="Bookman Old Style"/>
          <w:w w:val="100"/>
          <w:sz w:val="24"/>
          <w:szCs w:val="20"/>
        </w:rPr>
        <w:t>- аннулирование разрешений на установку и эксплуатацию рекламных конструкций.</w:t>
      </w:r>
    </w:p>
    <w:p>
      <w:pPr>
        <w:pStyle w:val="Style17"/>
        <w:suppressAutoHyphens w:val="false"/>
        <w:ind w:firstLine="567"/>
        <w:jc w:val="both"/>
        <w:rPr/>
      </w:pPr>
      <w:r>
        <w:rPr>
          <w:rFonts w:ascii="Bookman Old Style" w:hAnsi="Bookman Old Style"/>
          <w:w w:val="100"/>
          <w:sz w:val="24"/>
          <w:szCs w:val="20"/>
        </w:rPr>
        <w:t>Заявителями при предоставлении муниципальной услуги являются физический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являющимися собственником или иным указанным в части 5-7 статьи 19 Федерального закона от 13 марта 2006 года №38-ФЗ «О рекламе» законным владельцем соответствующего недвижимого имущества либо владельцем рекламной конструкции). В 2017 году выдано 1 разрешение на установку и эксплуатацию рекламных конструкций Грязовецкому ЛПУ МГ ФЛ ООО «Газпром трансгаз Ухта» ПАО «Газпром».</w:t>
      </w:r>
    </w:p>
    <w:p>
      <w:pPr>
        <w:pStyle w:val="Style17"/>
        <w:suppressAutoHyphens w:val="false"/>
        <w:ind w:firstLine="567"/>
        <w:jc w:val="both"/>
        <w:rPr/>
      </w:pPr>
      <w:r>
        <w:rPr>
          <w:rFonts w:ascii="Bookman Old Style" w:hAnsi="Bookman Old Style"/>
          <w:w w:val="100"/>
          <w:sz w:val="24"/>
          <w:szCs w:val="20"/>
        </w:rPr>
        <w:t>За предоставление муниципальной услуги заявителем уплачивается государственная пошлина за выдачу разрешения на установку рекламной конструкции в размере 5000 рублей  (пп. 105 ч. 1 ст. 333.33 Налогового кодекса Российской Федерации).</w:t>
      </w:r>
    </w:p>
    <w:p>
      <w:pPr>
        <w:pStyle w:val="Style17"/>
        <w:suppressAutoHyphens w:val="false"/>
        <w:ind w:firstLine="567"/>
        <w:jc w:val="both"/>
        <w:rPr/>
      </w:pPr>
      <w:r>
        <w:rPr>
          <w:rFonts w:ascii="Bookman Old Style" w:hAnsi="Bookman Old Style"/>
          <w:w w:val="100"/>
          <w:sz w:val="24"/>
          <w:szCs w:val="20"/>
        </w:rPr>
        <w:t xml:space="preserve">Получить данную услугу можно на </w:t>
      </w:r>
      <w:r>
        <w:rPr>
          <w:rFonts w:ascii="Bookman Old Style" w:hAnsi="Bookman Old Style"/>
          <w:w w:val="100"/>
          <w:sz w:val="24"/>
          <w:szCs w:val="20"/>
          <w:lang w:val="ru-RU"/>
        </w:rPr>
        <w:t>портале</w:t>
      </w:r>
      <w:r>
        <w:rPr>
          <w:rFonts w:ascii="Bookman Old Style" w:hAnsi="Bookman Old Style"/>
          <w:w w:val="100"/>
          <w:sz w:val="24"/>
          <w:szCs w:val="20"/>
        </w:rPr>
        <w:t xml:space="preserve"> </w:t>
      </w:r>
      <w:r>
        <w:rPr>
          <w:rFonts w:ascii="Bookman Old Style" w:hAnsi="Bookman Old Style"/>
          <w:w w:val="100"/>
          <w:sz w:val="24"/>
          <w:szCs w:val="20"/>
          <w:lang w:val="en-US"/>
        </w:rPr>
        <w:t>www.gosuslugi.ru.</w:t>
      </w:r>
    </w:p>
    <w:p>
      <w:pPr>
        <w:pStyle w:val="Style17"/>
        <w:suppressAutoHyphens w:val="false"/>
        <w:ind w:hanging="0"/>
        <w:jc w:val="both"/>
        <w:rPr/>
      </w:pPr>
      <w:r>
        <w:rPr>
          <w:rFonts w:ascii="Bookman Old Style" w:hAnsi="Bookman Old Style"/>
          <w:w w:val="100"/>
          <w:sz w:val="24"/>
        </w:rPr>
        <w:t xml:space="preserve">         </w:t>
      </w:r>
      <w:r>
        <w:rPr>
          <w:rFonts w:ascii="Bookman Old Style" w:hAnsi="Bookman Old Style"/>
          <w:w w:val="100"/>
          <w:sz w:val="24"/>
        </w:rPr>
        <w:t xml:space="preserve">С   учётом   информации,   полученной   в   ходе  проведения  публичных консультаций,  и  представленных материалов Управлением сделаны следующие выводы: </w:t>
      </w:r>
    </w:p>
    <w:p>
      <w:pPr>
        <w:pStyle w:val="Normal"/>
        <w:spacing w:lineRule="auto" w:line="240" w:before="0" w:after="0"/>
        <w:ind w:right="-141" w:firstLine="708"/>
        <w:jc w:val="both"/>
        <w:rPr>
          <w:rFonts w:ascii="Bookman Old Style" w:hAnsi="Bookman Old Style" w:cs="Times New Roman"/>
          <w:sz w:val="24"/>
          <w:szCs w:val="28"/>
        </w:rPr>
      </w:pPr>
      <w:r>
        <w:rPr>
          <w:rFonts w:cs="Times New Roman" w:ascii="Bookman Old Style" w:hAnsi="Bookman Old Style"/>
          <w:sz w:val="24"/>
          <w:szCs w:val="28"/>
        </w:rPr>
        <w:t>Акт не содержит положения, необоснованно затрудняющие осуществление предпринимательской и инвестиционной деятельности.</w:t>
      </w:r>
    </w:p>
    <w:p>
      <w:pPr>
        <w:pStyle w:val="Style17"/>
        <w:suppressAutoHyphens w:val="false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</w:r>
    </w:p>
    <w:p>
      <w:pPr>
        <w:pStyle w:val="Style17"/>
        <w:suppressAutoHyphens w:val="false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</w:r>
    </w:p>
    <w:p>
      <w:pPr>
        <w:pStyle w:val="Style17"/>
        <w:suppressAutoHyphens w:val="false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t xml:space="preserve">Первый заместитель главы </w:t>
      </w:r>
    </w:p>
    <w:p>
      <w:pPr>
        <w:pStyle w:val="Style17"/>
        <w:suppressAutoHyphens w:val="false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t xml:space="preserve">администрации района                                                                                     </w:t>
      </w:r>
      <w:bookmarkStart w:id="0" w:name="_GoBack"/>
      <w:bookmarkEnd w:id="0"/>
      <w:r>
        <w:rPr>
          <w:rFonts w:ascii="Bookman Old Style" w:hAnsi="Bookman Old Style"/>
          <w:w w:val="100"/>
          <w:sz w:val="24"/>
        </w:rPr>
        <w:t xml:space="preserve">  Л.Н.  Крутикова               </w:t>
      </w:r>
    </w:p>
    <w:p>
      <w:pPr>
        <w:pStyle w:val="Style17"/>
        <w:suppressAutoHyphens w:val="false"/>
        <w:ind w:firstLine="709"/>
        <w:jc w:val="both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</w:r>
    </w:p>
    <w:p>
      <w:pPr>
        <w:pStyle w:val="Style17"/>
        <w:suppressAutoHyphens w:val="false"/>
        <w:jc w:val="both"/>
        <w:rPr>
          <w:rFonts w:ascii="Bookman Old Style" w:hAnsi="Bookman Old Style"/>
          <w:w w:val="100"/>
          <w:sz w:val="24"/>
        </w:rPr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Bookman Old Style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qFormat/>
    <w:rsid w:val="0042602b"/>
    <w:rPr>
      <w:rFonts w:ascii="Times New Roman" w:hAnsi="Times New Roman" w:eastAsia="Times New Roman" w:cs="Times New Roman"/>
      <w:w w:val="90"/>
      <w:sz w:val="18"/>
      <w:szCs w:val="24"/>
      <w:lang w:eastAsia="ar-SA"/>
    </w:rPr>
  </w:style>
  <w:style w:type="character" w:styleId="Style15" w:customStyle="1">
    <w:name w:val="Текст сноски Знак"/>
    <w:basedOn w:val="DefaultParagraphFont"/>
    <w:link w:val="a5"/>
    <w:uiPriority w:val="99"/>
    <w:semiHidden/>
    <w:qFormat/>
    <w:rsid w:val="000a1f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0a1fa0"/>
    <w:rPr>
      <w:vertAlign w:val="superscript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link w:val="a4"/>
    <w:rsid w:val="0042602b"/>
    <w:pPr>
      <w:tabs>
        <w:tab w:val="left" w:pos="9712" w:leader="none"/>
      </w:tabs>
      <w:suppressAutoHyphens w:val="true"/>
      <w:spacing w:lineRule="auto" w:line="240" w:before="0" w:after="0"/>
    </w:pPr>
    <w:rPr>
      <w:rFonts w:ascii="Times New Roman" w:hAnsi="Times New Roman" w:eastAsia="Times New Roman" w:cs="Times New Roman"/>
      <w:w w:val="90"/>
      <w:sz w:val="18"/>
      <w:szCs w:val="24"/>
      <w:lang w:eastAsia="ar-SA"/>
    </w:rPr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onsPlusNonformat" w:customStyle="1">
    <w:name w:val="ConsPlusNonformat"/>
    <w:uiPriority w:val="99"/>
    <w:qFormat/>
    <w:rsid w:val="0042602b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ru-RU" w:bidi="ar-SA"/>
    </w:rPr>
  </w:style>
  <w:style w:type="paragraph" w:styleId="Footnotetext">
    <w:name w:val="footnote text"/>
    <w:basedOn w:val="Normal"/>
    <w:link w:val="a6"/>
    <w:uiPriority w:val="99"/>
    <w:semiHidden/>
    <w:unhideWhenUsed/>
    <w:qFormat/>
    <w:rsid w:val="000a1fa0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1813</TotalTime>
  <Application>LibreOffice/5.4.1.2$Windows_x86 LibreOffice_project/ea7cb86e6eeb2bf3a5af73a8f7777ac570321527</Application>
  <Pages>2</Pages>
  <Words>464</Words>
  <Characters>3576</Characters>
  <CharactersWithSpaces>4193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2017-04-07T05:38:00Z</dcterms:created>
  <dc:creator>econ10</dc:creator>
  <dc:description/>
  <dc:language>ru-RU</dc:language>
  <cp:lastModifiedBy/>
  <dcterms:modified xsi:type="dcterms:W3CDTF">2017-10-26T08:42:21Z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